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A78EC0" w14:textId="77777777" w:rsidR="00AF1F88" w:rsidRPr="00DE7269" w:rsidRDefault="00AF1F88" w:rsidP="00AF1F88">
      <w:pPr>
        <w:pStyle w:val="Tab2"/>
        <w:spacing w:before="0" w:after="0" w:line="120" w:lineRule="auto"/>
        <w:ind w:left="0" w:right="0"/>
        <w:jc w:val="left"/>
        <w:rPr>
          <w:b/>
          <w:sz w:val="24"/>
          <w:szCs w:val="24"/>
        </w:rPr>
        <w:widowControl/>
      </w:pPr>
    </w:p>
    <w:p w14:paraId="0BF2EB83" w14:textId="223C57B4" w:rsidR="00AF1F88" w:rsidRPr="00DE7269" w:rsidRDefault="00DE7269" w:rsidP="00AF1F88">
      <w:pPr>
        <w:pStyle w:val="Tab1"/>
        <w:widowControl w:val="0"/>
        <w:tabs>
          <w:tab w:val="clear" w:pos="360"/>
        </w:tabs>
        <w:spacing w:before="160" w:line="260" w:lineRule="auto" w:after="60"/>
        <w:ind w:right="0" w:firstLine="0"/>
        <w:rPr>
          <w:rFonts w:eastAsiaTheme="minorHAnsi"/>
          <w:sz w:val="24"/>
          <w:szCs w:val="24"/>
          <w:lang w:val="it-IT"/>
          <w14:ligatures w14:val="standardContextual"/>
        </w:rPr>
        <w:keepNext/>
      </w:pPr>
      <w:r w:rsidRPr="00DE7269">
        <w:rPr>
          <w:rFonts w:eastAsiaTheme="minorHAnsi"/>
          <w:sz w:val="24"/>
          <w:szCs w:val="24"/>
          <w:lang w:val="it-IT"/>
          <w14:ligatures w14:val="standardContextual"/>
          <w:b/>
        </w:rPr>
        <w:t xml:space="preserve">3. Coca-Cola e Pepsi sono riuscite ad avere una posizione dominante nel loro mercato per quasi un secolo. General </w:t>
      </w:r>
      <w:proofErr w:type="spellStart"/>
      <w:r w:rsidRPr="00DE7269">
        <w:rPr>
          <w:rFonts w:eastAsiaTheme="minorHAnsi"/>
          <w:sz w:val="24"/>
          <w:szCs w:val="24"/>
          <w:lang w:val="it-IT"/>
          <w14:ligatures w14:val="standardContextual"/>
          <w:b/>
        </w:rPr>
        <w:t>Motors</w:t>
      </w:r>
      <w:proofErr w:type="spellEnd"/>
      <w:r w:rsidRPr="00DE7269">
        <w:rPr>
          <w:rFonts w:eastAsiaTheme="minorHAnsi"/>
          <w:sz w:val="24"/>
          <w:szCs w:val="24"/>
          <w:lang w:val="it-IT"/>
          <w14:ligatures w14:val="standardContextual"/>
          <w:b/>
        </w:rPr>
        <w:t xml:space="preserve"> e Ford, invece, sono state toccate duramente dalla concorrenza, in tempi recenti. Cosa vi è di diverso nei due casi nella situazione del mercato e del prodotto che possa aver inciso sulla sostenibilità del vantaggio competitivo?</w:t>
      </w:r>
    </w:p>
    <w:p w14:paraId="3513B1CB" w14:textId="77777777" w:rsidR="00DE7269" w:rsidRPr="00DE7269" w:rsidRDefault="00DE7269" w:rsidP="00AF1F88">
      <w:pPr>
        <w:pStyle w:val="Tab1"/>
        <w:widowControl w:val="0"/>
        <w:tabs>
          <w:tab w:val="clear" w:pos="360"/>
        </w:tabs>
        <w:spacing w:before="0" w:line="120" w:lineRule="auto" w:after="0"/>
        <w:ind w:right="0" w:firstLine="0"/>
        <w:rPr>
          <w:snapToGrid w:val="0"/>
          <w:sz w:val="24"/>
          <w:szCs w:val="24"/>
          <w:lang w:val="it-IT"/>
        </w:rPr>
      </w:pPr>
    </w:p>
    <w:p w14:paraId="26087C3E" w14:textId="4D457D6A" w:rsidR="00DE7269" w:rsidRPr="00DE7269" w:rsidRDefault="00DE7269" w:rsidP="008C1C66">
      <w:pPr>
        <w:pStyle w:val="Tab2"/>
        <w:spacing w:before="0" w:after="80" w:line="260" w:lineRule="auto"/>
        <w:ind w:right="0"/>
        <w:jc w:val="left"/>
        <w:rPr>
          <w:sz w:val="24"/>
          <w:szCs w:val="24"/>
          <w:lang w:val="it-IT"/>
        </w:rPr>
        <w:widowControl/>
      </w:pPr>
      <w:r>
        <w:rPr>
          <w:sz w:val="24"/>
          <w:szCs w:val="24"/>
          <w:lang w:val="it-IT"/>
        </w:rPr>
        <w:t>Un primo elemento è la diversa dinamica del prodotto. La Ford Mustang, introdotta nel 1964, ha richiesto continui aggiornamenti di tecnologia, sicurezza, efficienza e design; l'industria automobilistica comporta grandi investimenti di capitale, regolazione e cicli di modello. Le bibite gassate hanno una formula di base più stabile, anche se Coca-Cola e Pepsi innovano in gusti, confezioni, distribuzione e categorie adiacenti: non investono soltanto nel marchio.</w:t>
      </w:r>
    </w:p>
    <w:p w14:paraId="2E9325B9" w14:textId="77777777" w:rsidR="00DE7269" w:rsidRPr="00DE7269" w:rsidRDefault="00DE7269" w:rsidP="008C1C66">
      <w:pPr>
        <w:pStyle w:val="Tab2"/>
        <w:spacing w:before="0" w:after="0" w:line="120" w:lineRule="auto"/>
        <w:ind w:right="0"/>
        <w:jc w:val="left"/>
        <w:rPr>
          <w:sz w:val="24"/>
          <w:szCs w:val="24"/>
          <w:lang w:val="it-IT"/>
        </w:rPr>
        <w:widowControl/>
      </w:pPr>
    </w:p>
    <w:p w14:paraId="5E1B03D2" w14:textId="09810BA7" w:rsidR="00DE7269" w:rsidRPr="00DE7269" w:rsidRDefault="00DE7269" w:rsidP="008C1C66">
      <w:pPr>
        <w:pStyle w:val="Tab2"/>
        <w:spacing w:before="0" w:after="80" w:line="260" w:lineRule="auto"/>
        <w:ind w:right="0"/>
        <w:jc w:val="left"/>
        <w:rPr>
          <w:sz w:val="24"/>
          <w:szCs w:val="24"/>
          <w:lang w:val="it-IT"/>
        </w:rPr>
        <w:widowControl/>
      </w:pPr>
      <w:r>
        <w:rPr>
          <w:sz w:val="24"/>
          <w:szCs w:val="24"/>
          <w:lang w:val="it-IT"/>
        </w:rPr>
        <w:t>Un secondo elemento è la forza delle abitudini e degli ecosistemi distributivi. Marchio, disponibilità capillare, contratti con ristorazione e spazio a scaffale possono sostenere le bevande; nell'auto, acquisto infrequente, prezzo elevato e confronto tra prestazioni rendono la scelta più deliberata. Anche i marchi automobilistici possono però creare fedeltà, reputazione e costi di switching.</w:t>
      </w:r>
    </w:p>
    <w:p w14:paraId="4D6E726B" w14:textId="77777777" w:rsidR="00DE7269" w:rsidRPr="00DE7269" w:rsidRDefault="00DE7269" w:rsidP="008C1C66">
      <w:pPr>
        <w:pStyle w:val="Tab2"/>
        <w:spacing w:before="0" w:after="0" w:line="120" w:lineRule="auto"/>
        <w:ind w:right="0"/>
        <w:jc w:val="left"/>
        <w:rPr>
          <w:sz w:val="24"/>
          <w:szCs w:val="24"/>
          <w:lang w:val="it-IT"/>
        </w:rPr>
        <w:widowControl/>
      </w:pPr>
    </w:p>
    <w:p w14:paraId="212858A0" w14:textId="54E019CB" w:rsidR="00DE7269" w:rsidRPr="00DE7269" w:rsidRDefault="00DE7269" w:rsidP="008C1C66">
      <w:pPr>
        <w:pStyle w:val="Tab2"/>
        <w:spacing w:before="0" w:after="80" w:line="260" w:lineRule="auto"/>
        <w:ind w:right="0"/>
        <w:jc w:val="left"/>
        <w:rPr>
          <w:bCs/>
          <w:sz w:val="24"/>
          <w:szCs w:val="24"/>
          <w:lang w:val="it-IT"/>
        </w:rPr>
        <w:widowControl/>
      </w:pPr>
      <w:r>
        <w:rPr>
          <w:sz w:val="24"/>
          <w:szCs w:val="24"/>
          <w:lang w:val="it-IT"/>
        </w:rPr>
        <w:t>Infine, i vantaggi tecnologici automobilistici sono spesso imitabili e la concorrenza globale è intensa, mentre la scala produttiva e la rete di assistenza richiedono capitale. Nelle bevande, ricette, brand equity, distribuzione e marketing si rafforzano a vicenda e l'accesso ai canali può essere una barriera. La sostenibilità dipende quindi da un sistema di risorse complementari, non da una singola differenza tra i prodotti.</w:t>
      </w:r>
    </w:p>
    <w:p w14:paraId="672B564B" w14:textId="77777777" w:rsidR="00AF1F88" w:rsidRPr="00DE7269" w:rsidRDefault="00AF1F88" w:rsidP="00AF1F88">
      <w:pPr>
        <w:pStyle w:val="Tab2"/>
        <w:spacing w:before="0" w:after="0" w:line="120" w:lineRule="auto"/>
        <w:ind w:right="0"/>
        <w:jc w:val="left"/>
        <w:rPr>
          <w:bCs/>
          <w:sz w:val="24"/>
          <w:szCs w:val="24"/>
          <w:lang w:val="it-IT"/>
        </w:rPr>
        <w:widowControl/>
      </w:pPr>
    </w:p>
    <w:p w14:paraId="51CFD5D7" w14:textId="77777777" w:rsidR="00DE7269" w:rsidRPr="00C928E2" w:rsidRDefault="00AF1F88" w:rsidP="00DE726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60" w:after="60" w:lineRule="auto" w:line="260"/>
        <w:rPr>
          <w:rFonts w:eastAsiaTheme="minorHAnsi"/>
          <w:b/>
          <w:bCs/>
          <w:snapToGrid/>
          <w:szCs w:val="24"/>
          <w:lang w:val="it-IT"/>
          <w14:ligatures w14:val="standardContextual"/>
        </w:rPr>
        <w:keepNext/>
      </w:pPr>
      <w:r>
        <w:rPr>
          <w:b/>
          <w:bCs/>
          <w:szCs w:val="24"/>
          <w:lang w:val="it-IT"/>
        </w:rPr>
        <w:t>4. Fornite un esempio di un'impresa che possiede risorse co-specializzate. L'impresa ne ha tratto beneficio? Perché?</w:t>
      </w:r>
    </w:p>
    <w:p w14:paraId="049A76E2" w14:textId="5E2991AA" w:rsidR="00AF1F88" w:rsidRPr="00C928E2" w:rsidRDefault="00C928E2" w:rsidP="00DE7269">
      <w:pPr>
        <w:pStyle w:val="Tab1"/>
        <w:widowControl w:val="0"/>
        <w:tabs>
          <w:tab w:val="clear" w:pos="360"/>
        </w:tabs>
        <w:spacing w:before="0" w:line="120" w:lineRule="auto" w:after="0"/>
        <w:ind w:right="0"/>
        <w:rPr>
          <w:bCs/>
          <w:snapToGrid w:val="0"/>
          <w:sz w:val="24"/>
          <w:szCs w:val="24"/>
          <w:lang w:val="it-IT"/>
        </w:rPr>
      </w:pPr>
      <w:r>
        <w:rPr>
          <w:rFonts w:eastAsiaTheme="minorHAnsi"/>
          <w:bCs/>
          <w:sz w:val="24"/>
          <w:szCs w:val="24"/>
          <w:lang w:val="it-IT"/>
          <w14:ligatures w14:val="standardContextual"/>
        </w:rPr>
      </w:r>
    </w:p>
    <w:p w14:paraId="43468593" w14:textId="77777777" w:rsidR="00DE7269" w:rsidRPr="00DE7269" w:rsidRDefault="00DE7269" w:rsidP="00696EC5">
      <w:pPr>
        <w:pStyle w:val="Tab1"/>
        <w:widowControl w:val="0"/>
        <w:tabs>
          <w:tab w:val="clear" w:pos="360"/>
        </w:tabs>
        <w:spacing w:before="0" w:line="120" w:lineRule="auto" w:after="0"/>
        <w:ind w:right="0"/>
        <w:rPr>
          <w:snapToGrid w:val="0"/>
          <w:sz w:val="24"/>
          <w:szCs w:val="24"/>
          <w:lang w:val="it-IT"/>
        </w:rPr>
      </w:pPr>
    </w:p>
    <w:p w14:paraId="037F2BF4" w14:textId="0316B93E" w:rsidR="00DE7269" w:rsidRDefault="00DE7269" w:rsidP="00696EC5">
      <w:pPr>
        <w:pStyle w:val="Tab2"/>
        <w:spacing w:before="0" w:after="80" w:line="260" w:lineRule="auto"/>
        <w:ind w:right="0"/>
        <w:jc w:val="left"/>
        <w:rPr>
          <w:sz w:val="24"/>
          <w:szCs w:val="24"/>
          <w:lang w:val="it-IT"/>
        </w:rPr>
        <w:widowControl/>
      </w:pPr>
      <w:r>
        <w:rPr>
          <w:sz w:val="24"/>
          <w:szCs w:val="24"/>
          <w:lang w:val="it-IT"/>
        </w:rPr>
        <w:t>Le risorse sono co-specializzate quando creano più valore insieme che separatamente. Un esempio aziendale è l'ecosistema Apple: hardware, sistema operativo, chip, servizi, negozi, sviluppatori e base installata si rafforzano reciprocamente. La co-specializzazione sostiene differenziazione, qualità dell'esperienza e costi di switching; al tempo stesso richiede coordinamento e può creare dipendenza reciproca e lock-in. Un esempio sportivo, da trattare solo come analogia, è la coppia John Stockton–Karl Malone negli Utah Jazz.</w:t>
      </w:r>
    </w:p>
    <w:p w14:paraId="6F8F1FA8" w14:textId="77777777" w:rsidR="001C3818" w:rsidRDefault="001C3818" w:rsidP="00696EC5">
      <w:pPr>
        <w:pStyle w:val="Tab2"/>
        <w:spacing w:before="0" w:after="0" w:line="120" w:lineRule="auto"/>
        <w:ind w:right="0"/>
        <w:jc w:val="left"/>
        <w:rPr>
          <w:sz w:val="24"/>
          <w:szCs w:val="24"/>
          <w:lang w:val="it-IT"/>
        </w:rPr>
        <w:widowControl/>
      </w:pPr>
    </w:p>
    <w:p w14:paraId="0160C7F4" w14:textId="1D499839" w:rsidR="001C3818" w:rsidRPr="00C928E2" w:rsidRDefault="001C3818" w:rsidP="00696EC5">
      <w:pPr>
        <w:pStyle w:val="Tab2"/>
        <w:spacing w:before="0" w:after="80" w:line="260" w:lineRule="auto"/>
        <w:ind w:right="0"/>
        <w:jc w:val="left"/>
        <w:rPr>
          <w:i/>
          <w:iCs/>
          <w:sz w:val="24"/>
          <w:szCs w:val="24"/>
          <w:lang w:val="it-IT"/>
        </w:rPr>
        <w:widowControl/>
      </w:pPr>
      <w:r>
        <w:rPr>
          <w:i/>
          <w:iCs/>
          <w:sz w:val="24"/>
          <w:szCs w:val="24"/>
          <w:lang w:val="it-IT"/>
        </w:rPr>
        <w:t>Il punto da ricordare è che la co-specializzazione crea valore congiunto, ma la sua ripartizione dipende da proprietà, contratti e potere negoziale.</w:t>
      </w:r>
    </w:p>
    <w:p w14:paraId="40C5D10F" w14:textId="77777777" w:rsidR="00DE7269" w:rsidRPr="00DE7269" w:rsidRDefault="00DE7269" w:rsidP="00696EC5">
      <w:pPr>
        <w:pStyle w:val="Tab2"/>
        <w:spacing w:before="0" w:after="0" w:line="120" w:lineRule="auto"/>
        <w:ind w:left="0" w:right="0"/>
        <w:jc w:val="left"/>
        <w:rPr>
          <w:sz w:val="24"/>
          <w:szCs w:val="24"/>
          <w:lang w:val="it-IT"/>
        </w:rPr>
        <w:widowControl/>
      </w:pPr>
    </w:p>
    <w:p w14:paraId="2B67C36A" w14:textId="28E3A5EC" w:rsidR="00DE7269" w:rsidRPr="00C928E2" w:rsidRDefault="00DE7269" w:rsidP="00DE726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60" w:after="60" w:lineRule="auto" w:line="260"/>
        <w:rPr>
          <w:rFonts w:eastAsiaTheme="minorHAnsi"/>
          <w:b/>
          <w:bCs/>
          <w:snapToGrid/>
          <w:szCs w:val="24"/>
          <w:lang w:val="it-IT"/>
          <w14:ligatures w14:val="standardContextual"/>
        </w:rPr>
        <w:keepNext/>
      </w:pPr>
      <w:r w:rsidRPr="00DE7269">
        <w:rPr>
          <w:rFonts w:eastAsiaTheme="minorHAnsi"/>
          <w:snapToGrid/>
          <w:szCs w:val="24"/>
          <w:lang w:val="it-IT"/>
          <w14:ligatures w14:val="standardContextual"/>
          <w:b/>
        </w:rPr>
        <w:t xml:space="preserve">6. </w:t>
      </w:r>
      <w:r w:rsidRPr="00C928E2">
        <w:rPr>
          <w:rFonts w:eastAsiaTheme="minorHAnsi"/>
          <w:b/>
          <w:bCs/>
          <w:snapToGrid/>
          <w:szCs w:val="24"/>
          <w:lang w:val="it-IT"/>
          <w14:ligatures w14:val="standardContextual"/>
        </w:rPr>
        <w:t>Quali delle seguenti circostanze possono creare vantaggi da prima mossa:</w:t>
      </w:r>
    </w:p>
    <w:p w14:paraId="46C0924C" w14:textId="77777777" w:rsidR="00DE7269" w:rsidRPr="00C928E2" w:rsidRDefault="00DE7269" w:rsidP="00DE7269">
      <w:pPr>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after="80" w:lineRule="auto" w:line="260"/>
        <w:ind w:left="0" w:firstLine="0"/>
        <w:rPr>
          <w:rFonts w:eastAsiaTheme="minorHAnsi"/>
          <w:b/>
          <w:bCs/>
          <w:snapToGrid/>
          <w:szCs w:val="24"/>
          <w:lang w:val="it-IT"/>
          <w14:ligatures w14:val="standardContextual"/>
        </w:rPr>
      </w:pPr>
      <w:r w:rsidRPr="00C928E2">
        <w:rPr>
          <w:rFonts w:ascii="Calibri" w:eastAsiaTheme="minorHAnsi" w:hAnsi="Calibri" w:cs="Calibri"/>
          <w:b/>
          <w:bCs/>
          <w:snapToGrid/>
          <w:szCs w:val="24"/>
          <w14:ligatures w14:val="standardContextual"/>
        </w:rPr>
      </w:r>
      <w:r w:rsidRPr="00C928E2">
        <w:rPr>
          <w:rFonts w:eastAsiaTheme="minorHAnsi"/>
          <w:b/>
          <w:bCs/>
          <w:snapToGrid/>
          <w:szCs w:val="24"/>
          <w:lang w:val="it-IT"/>
          <w14:ligatures w14:val="standardContextual"/>
        </w:rPr>
        <w:t>Maxwell House lancia sul mercato il primo caffè liofilizzato.</w:t>
      </w:r>
    </w:p>
    <w:p w14:paraId="64B950D0" w14:textId="77777777" w:rsidR="00DE7269" w:rsidRPr="00C928E2" w:rsidRDefault="00DE7269" w:rsidP="00DE7269">
      <w:pPr>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after="80" w:lineRule="auto" w:line="260"/>
        <w:ind w:left="0" w:firstLine="0"/>
        <w:rPr>
          <w:rFonts w:eastAsiaTheme="minorHAnsi"/>
          <w:b/>
          <w:bCs/>
          <w:snapToGrid/>
          <w:szCs w:val="24"/>
          <w:lang w:val="it-IT"/>
          <w14:ligatures w14:val="standardContextual"/>
        </w:rPr>
      </w:pPr>
      <w:r w:rsidRPr="00C928E2">
        <w:rPr>
          <w:rFonts w:ascii="Calibri" w:eastAsiaTheme="minorHAnsi" w:hAnsi="Calibri" w:cs="Calibri"/>
          <w:b/>
          <w:bCs/>
          <w:snapToGrid/>
          <w:szCs w:val="24"/>
          <w14:ligatures w14:val="standardContextual"/>
        </w:rPr>
      </w:r>
      <w:r w:rsidRPr="00C928E2">
        <w:rPr>
          <w:rFonts w:eastAsiaTheme="minorHAnsi"/>
          <w:b/>
          <w:bCs/>
          <w:snapToGrid/>
          <w:szCs w:val="24"/>
          <w:lang w:val="it-IT"/>
          <w14:ligatures w14:val="standardContextual"/>
        </w:rPr>
        <w:t>Un consorzio di imprese statunitensi lancia la prima televisione ad alta definizione.</w:t>
      </w:r>
    </w:p>
    <w:p w14:paraId="28789688" w14:textId="5B476C70" w:rsidR="00AF1F88" w:rsidRDefault="00DE7269" w:rsidP="00DE7269">
      <w:pPr>
        <w:pStyle w:val="Tab1"/>
        <w:widowControl w:val="0"/>
        <w:tabs>
          <w:tab w:val="clear" w:pos="360"/>
        </w:tabs>
        <w:spacing w:before="0" w:line="260" w:lineRule="auto" w:after="80"/>
        <w:ind w:left="90" w:right="0" w:hanging="90"/>
        <w:rPr>
          <w:rFonts w:eastAsiaTheme="minorHAnsi"/>
          <w:bCs/>
          <w:sz w:val="24"/>
          <w:szCs w:val="24"/>
          <w:lang w:val="it-IT"/>
          <w14:ligatures w14:val="standardContextual"/>
        </w:rPr>
      </w:pPr>
      <w:r>
        <w:rPr>
          <w:rFonts w:ascii="Calibri" w:eastAsiaTheme="minorHAnsi" w:hAnsi="Calibri" w:cs="Calibri"/>
          <w:bCs/>
          <w:sz w:val="24"/>
          <w:szCs w:val="24"/>
          <w14:ligatures w14:val="standardContextual"/>
        </w:rPr>
        <w:t>c. Smith, Kline &amp; French lancia Tagamet, il primo farmaco molto efficace per il trattamento dell'ulcera.</w:t>
      </w:r>
    </w:p>
    <w:p w14:paraId="5DBB74BD" w14:textId="77777777" w:rsidR="00C928E2" w:rsidRPr="00C928E2" w:rsidRDefault="00C928E2" w:rsidP="00DE7269">
      <w:pPr>
        <w:pStyle w:val="Tab1"/>
        <w:widowControl w:val="0"/>
        <w:tabs>
          <w:tab w:val="clear" w:pos="360"/>
        </w:tabs>
        <w:spacing w:before="0" w:line="120" w:lineRule="auto" w:after="0"/>
        <w:ind w:left="90" w:right="0" w:hanging="90"/>
        <w:rPr>
          <w:bCs/>
          <w:snapToGrid w:val="0"/>
          <w:sz w:val="24"/>
          <w:szCs w:val="24"/>
          <w:lang w:val="it-IT"/>
        </w:rPr>
      </w:pPr>
    </w:p>
    <w:p w14:paraId="26F25915" w14:textId="77777777" w:rsidR="00DE7269" w:rsidRPr="00DE7269" w:rsidRDefault="00DE7269" w:rsidP="008F27FE">
      <w:pPr>
        <w:tabs>
          <w:tab w:val="left" w:pos="720"/>
        </w:tabs>
        <w:spacing w:before="0" w:after="80" w:line="260" w:lineRule="auto"/>
        <w:ind w:left="720" w:hanging="360"/>
        <w:rPr>
          <w:b/>
          <w:szCs w:val="24"/>
          <w:lang w:val="it-IT"/>
        </w:rPr>
        <w:widowControl/>
      </w:pPr>
      <w:r w:rsidRPr="00DE7269">
        <w:rPr>
          <w:b/>
          <w:szCs w:val="24"/>
          <w:lang w:val="it-IT"/>
        </w:rPr>
        <w:t>a)</w:t>
      </w:r>
      <w:r w:rsidRPr="00DE7269">
        <w:rPr>
          <w:b/>
          <w:szCs w:val="24"/>
          <w:lang w:val="it-IT"/>
        </w:rPr>
        <w:tab/>
        <w:t>Maxwell House introduce il primo caffè liofilizzato.</w:t>
      </w:r>
    </w:p>
    <w:p w14:paraId="3A503419" w14:textId="3075FDC2" w:rsidR="00DE7269" w:rsidRPr="00DE7269" w:rsidRDefault="00DE7269" w:rsidP="008F27FE">
      <w:pPr>
        <w:pStyle w:val="Tab2"/>
        <w:spacing w:before="0" w:after="80" w:line="260" w:lineRule="auto"/>
        <w:ind w:left="720" w:right="0"/>
        <w:jc w:val="left"/>
        <w:rPr>
          <w:sz w:val="24"/>
          <w:szCs w:val="24"/>
          <w:lang w:val="it-IT"/>
        </w:rPr>
        <w:widowControl/>
      </w:pPr>
      <w:r w:rsidRPr="00DE7269">
        <w:rPr>
          <w:sz w:val="24"/>
          <w:szCs w:val="24"/>
          <w:lang w:val="it-IT"/>
        </w:rPr>
        <w:t xml:space="preserve">Non ci sono esternalità di rete o costi di </w:t>
      </w:r>
      <w:r w:rsidR="00C928E2">
        <w:rPr>
          <w:sz w:val="24"/>
          <w:szCs w:val="24"/>
          <w:lang w:val="it-IT"/>
        </w:rPr>
        <w:t>switching</w:t>
      </w:r>
      <w:r w:rsidRPr="00DE7269">
        <w:rPr>
          <w:sz w:val="24"/>
          <w:szCs w:val="24"/>
          <w:lang w:val="it-IT"/>
        </w:rPr>
        <w:t xml:space="preserve"> con il caffè liofilizzato. Si può ipotizzare un possibile effetto sulla reputazione e sull'incertezza dell'acquirente; cioè, se Maxwell House può aprire la strada a un prodotto e stabilire una reputazione di qualità, i clienti preesistenti potrebbero non essere disposti a cambiare e i nuovi clienti cercheranno il </w:t>
      </w:r>
      <w:r w:rsidR="00C928E2">
        <w:rPr>
          <w:sz w:val="24"/>
          <w:szCs w:val="24"/>
          <w:lang w:val="it-IT"/>
        </w:rPr>
        <w:t xml:space="preserve">caffè del primo </w:t>
      </w:r>
      <w:proofErr w:type="spellStart"/>
      <w:r w:rsidR="00C928E2">
        <w:rPr>
          <w:sz w:val="24"/>
          <w:szCs w:val="24"/>
          <w:lang w:val="it-IT"/>
        </w:rPr>
        <w:t>mover</w:t>
      </w:r>
      <w:proofErr w:type="spellEnd"/>
      <w:r w:rsidRPr="00DE7269">
        <w:rPr>
          <w:sz w:val="24"/>
          <w:szCs w:val="24"/>
          <w:lang w:val="it-IT"/>
        </w:rPr>
        <w:t xml:space="preserve"> a causa della sua reputazione. Tuttavia, questo effetto è molto incerto. Se arriva un altro marchio che ha un sapore migliore, i consumatori possono facilmente cambiare.  Se Maxwell House può brevettare il processo di liofilizzazione e </w:t>
      </w:r>
      <w:r w:rsidR="001C3818">
        <w:rPr>
          <w:sz w:val="24"/>
          <w:szCs w:val="24"/>
          <w:lang w:val="it-IT"/>
        </w:rPr>
        <w:t xml:space="preserve">la sua formula </w:t>
      </w:r>
      <w:r w:rsidRPr="00DE7269">
        <w:rPr>
          <w:sz w:val="24"/>
          <w:szCs w:val="24"/>
          <w:lang w:val="it-IT"/>
        </w:rPr>
        <w:t>non può essere "</w:t>
      </w:r>
      <w:r w:rsidR="001C3818">
        <w:rPr>
          <w:sz w:val="24"/>
          <w:szCs w:val="24"/>
          <w:lang w:val="it-IT"/>
        </w:rPr>
        <w:t>ingegnerizzata all’indietro</w:t>
      </w:r>
      <w:r w:rsidRPr="00DE7269">
        <w:rPr>
          <w:sz w:val="24"/>
          <w:szCs w:val="24"/>
          <w:lang w:val="it-IT"/>
        </w:rPr>
        <w:t xml:space="preserve">", il brevetto potrebbe offrire un vantaggio sostenibile per la prima mossa.  È anche possibile che il prodotto offra svantaggi </w:t>
      </w:r>
      <w:r w:rsidR="001C3818">
        <w:rPr>
          <w:sz w:val="24"/>
          <w:szCs w:val="24"/>
          <w:lang w:val="it-IT"/>
        </w:rPr>
        <w:t>del</w:t>
      </w:r>
      <w:r w:rsidRPr="00DE7269">
        <w:rPr>
          <w:sz w:val="24"/>
          <w:szCs w:val="24"/>
          <w:lang w:val="it-IT"/>
        </w:rPr>
        <w:t xml:space="preserve">la prima mossa. Se Maxwell House investe tutti i suoi soldi in un processo, ma un'altra azienda </w:t>
      </w:r>
      <w:r w:rsidR="00C928E2">
        <w:rPr>
          <w:sz w:val="24"/>
          <w:szCs w:val="24"/>
          <w:lang w:val="it-IT"/>
        </w:rPr>
        <w:t xml:space="preserve">può osservare e </w:t>
      </w:r>
      <w:r w:rsidRPr="00DE7269">
        <w:rPr>
          <w:sz w:val="24"/>
          <w:szCs w:val="24"/>
          <w:lang w:val="it-IT"/>
        </w:rPr>
        <w:t>crea</w:t>
      </w:r>
      <w:r w:rsidR="00C928E2">
        <w:rPr>
          <w:sz w:val="24"/>
          <w:szCs w:val="24"/>
          <w:lang w:val="it-IT"/>
        </w:rPr>
        <w:t>re</w:t>
      </w:r>
      <w:r w:rsidRPr="00DE7269">
        <w:rPr>
          <w:sz w:val="24"/>
          <w:szCs w:val="24"/>
          <w:lang w:val="it-IT"/>
        </w:rPr>
        <w:t xml:space="preserve"> un prodotto migliore, </w:t>
      </w:r>
      <w:r w:rsidR="00C928E2">
        <w:rPr>
          <w:sz w:val="24"/>
          <w:szCs w:val="24"/>
          <w:lang w:val="it-IT"/>
        </w:rPr>
        <w:t xml:space="preserve">e di conseguenza </w:t>
      </w:r>
      <w:r w:rsidRPr="00DE7269">
        <w:rPr>
          <w:sz w:val="24"/>
          <w:szCs w:val="24"/>
          <w:lang w:val="it-IT"/>
        </w:rPr>
        <w:t>Maxwell House potrebbe trovarsi di fronte a uno svantaggio della prima mossa.</w:t>
      </w:r>
    </w:p>
    <w:p w14:paraId="31EB8923" w14:textId="77777777" w:rsidR="00DE7269" w:rsidRPr="00DE7269" w:rsidRDefault="00DE7269" w:rsidP="008F27FE">
      <w:pPr>
        <w:pStyle w:val="Tab2"/>
        <w:spacing w:before="0" w:after="0" w:line="120" w:lineRule="auto"/>
        <w:ind w:left="720" w:right="0"/>
        <w:jc w:val="left"/>
        <w:rPr>
          <w:sz w:val="24"/>
          <w:szCs w:val="24"/>
          <w:lang w:val="it-IT"/>
        </w:rPr>
        <w:widowControl/>
      </w:pPr>
    </w:p>
    <w:p w14:paraId="33F8C654" w14:textId="77777777" w:rsidR="00DE7269" w:rsidRPr="00DE7269" w:rsidRDefault="00DE7269" w:rsidP="008F27FE">
      <w:pPr>
        <w:tabs>
          <w:tab w:val="left" w:pos="720"/>
        </w:tabs>
        <w:spacing w:before="0" w:after="80" w:line="260" w:lineRule="auto"/>
        <w:ind w:left="720" w:hanging="360"/>
        <w:rPr>
          <w:b/>
          <w:szCs w:val="24"/>
          <w:lang w:val="it-IT"/>
        </w:rPr>
        <w:widowControl/>
      </w:pPr>
      <w:r w:rsidRPr="00DE7269">
        <w:rPr>
          <w:b/>
          <w:szCs w:val="24"/>
          <w:lang w:val="it-IT"/>
        </w:rPr>
        <w:t>b)</w:t>
      </w:r>
      <w:r w:rsidRPr="00DE7269">
        <w:rPr>
          <w:b/>
          <w:szCs w:val="24"/>
          <w:lang w:val="it-IT"/>
        </w:rPr>
        <w:tab/>
        <w:t>Un consorzio di aziende statunitensi introduce la prima televisione ad alta definizione.</w:t>
      </w:r>
    </w:p>
    <w:p w14:paraId="69DD4A59" w14:textId="19536993" w:rsidR="00DE7269" w:rsidRPr="00DE7269" w:rsidRDefault="00DE7269" w:rsidP="008F27FE">
      <w:pPr>
        <w:pStyle w:val="Tab2"/>
        <w:spacing w:before="0" w:after="80" w:line="260" w:lineRule="auto"/>
        <w:ind w:left="720" w:right="0"/>
        <w:jc w:val="left"/>
        <w:rPr>
          <w:sz w:val="24"/>
          <w:szCs w:val="24"/>
          <w:lang w:val="it-IT"/>
        </w:rPr>
        <w:widowControl/>
      </w:pPr>
      <w:r>
        <w:rPr>
          <w:sz w:val="24"/>
          <w:szCs w:val="24"/>
          <w:lang w:val="it-IT"/>
        </w:rPr>
        <w:t>Un vantaggio di prima mossa può derivare da brevetti, apprendimento e dall'affermazione di uno standard. Se il consorzio ottiene una base installata, produttori di contenuti e dispositivi complementari hanno più incentivo a supportarne il formato. I consumatori preferiscono hardware compatibile con una vasta offerta di programmi e apparecchi futuri. Il vantaggio non è automatico: uno standard tecnicamente migliore o maggiormente supportato può prevalere.</w:t>
      </w:r>
    </w:p>
    <w:p w14:paraId="697A1D42" w14:textId="77777777" w:rsidR="00DE7269" w:rsidRPr="00DE7269" w:rsidRDefault="00DE7269" w:rsidP="008F27FE">
      <w:pPr>
        <w:pStyle w:val="Tab2"/>
        <w:spacing w:before="0" w:after="0" w:line="120" w:lineRule="auto"/>
        <w:ind w:left="720" w:right="0"/>
        <w:jc w:val="left"/>
        <w:rPr>
          <w:sz w:val="24"/>
          <w:szCs w:val="24"/>
          <w:lang w:val="it-IT"/>
        </w:rPr>
        <w:widowControl/>
      </w:pPr>
    </w:p>
    <w:p w14:paraId="0CC16085" w14:textId="21274096" w:rsidR="00DE7269" w:rsidRPr="00DE7269" w:rsidRDefault="00DE7269" w:rsidP="008F27FE">
      <w:pPr>
        <w:pStyle w:val="Tab2"/>
        <w:spacing w:before="0" w:after="80" w:line="260" w:lineRule="auto"/>
        <w:ind w:left="720" w:right="0"/>
        <w:jc w:val="left"/>
        <w:rPr>
          <w:sz w:val="24"/>
          <w:szCs w:val="24"/>
          <w:lang w:val="it-IT"/>
        </w:rPr>
        <w:widowControl/>
      </w:pPr>
      <w:r w:rsidRPr="00DE7269">
        <w:rPr>
          <w:sz w:val="24"/>
          <w:szCs w:val="24"/>
          <w:lang w:val="it-IT"/>
        </w:rPr>
        <w:t xml:space="preserve">Uno svantaggio potrebbe sorgere se la televisione ad alta definizione fosse la "scommessa" sbagliata; cioè, la tecnologia </w:t>
      </w:r>
      <w:r w:rsidR="00C928E2">
        <w:rPr>
          <w:sz w:val="24"/>
          <w:szCs w:val="24"/>
          <w:lang w:val="it-IT"/>
        </w:rPr>
        <w:t>si rivela poco gradita</w:t>
      </w:r>
      <w:r w:rsidRPr="00DE7269">
        <w:rPr>
          <w:sz w:val="24"/>
          <w:szCs w:val="24"/>
          <w:lang w:val="it-IT"/>
        </w:rPr>
        <w:t xml:space="preserve">, o un consorzio diverso introduce uno standard diverso che domina i </w:t>
      </w:r>
      <w:r w:rsidR="00C928E2">
        <w:rPr>
          <w:sz w:val="24"/>
          <w:szCs w:val="24"/>
          <w:lang w:val="it-IT"/>
        </w:rPr>
        <w:t>mercati</w:t>
      </w:r>
      <w:r w:rsidRPr="00DE7269">
        <w:rPr>
          <w:sz w:val="24"/>
          <w:szCs w:val="24"/>
          <w:lang w:val="it-IT"/>
        </w:rPr>
        <w:t>.</w:t>
      </w:r>
    </w:p>
    <w:p w14:paraId="71A0853C" w14:textId="77777777" w:rsidR="00DE7269" w:rsidRPr="00DE7269" w:rsidRDefault="00DE7269" w:rsidP="008F27FE">
      <w:pPr>
        <w:pStyle w:val="Tab2"/>
        <w:spacing w:before="0" w:after="0" w:line="120" w:lineRule="auto"/>
        <w:ind w:left="720" w:right="0"/>
        <w:jc w:val="left"/>
        <w:rPr>
          <w:sz w:val="24"/>
          <w:szCs w:val="24"/>
          <w:lang w:val="it-IT"/>
        </w:rPr>
        <w:widowControl/>
      </w:pPr>
    </w:p>
    <w:p w14:paraId="36245478" w14:textId="0BBF1B71" w:rsidR="00DE7269" w:rsidRPr="00DE7269" w:rsidRDefault="00DE7269" w:rsidP="008F27FE">
      <w:pPr>
        <w:tabs>
          <w:tab w:val="left" w:pos="720"/>
        </w:tabs>
        <w:spacing w:before="0" w:after="80" w:line="260" w:lineRule="auto"/>
        <w:ind w:left="720" w:hanging="360"/>
        <w:rPr>
          <w:b/>
          <w:szCs w:val="24"/>
          <w:lang w:val="it-IT"/>
        </w:rPr>
        <w:widowControl/>
      </w:pPr>
      <w:r>
        <w:rPr>
          <w:b/>
          <w:szCs w:val="24"/>
          <w:lang w:val="it-IT"/>
        </w:rPr>
        <w:t>c) Smith, Kline &amp; French presenta Tagamet, il primo trattamento farmacologico molto efficace per l'ulcera.</w:t>
      </w:r>
    </w:p>
    <w:p w14:paraId="0C9FD04A" w14:textId="73FA5AC5" w:rsidR="00AF1F88" w:rsidRDefault="00DE7269" w:rsidP="00C928E2">
      <w:pPr>
        <w:pStyle w:val="BodyTextIndent2"/>
        <w:spacing w:line="260" w:lineRule="auto" w:before="0" w:after="80"/>
        <w:ind w:firstLine="0"/>
        <w:rPr>
          <w:szCs w:val="24"/>
          <w:lang w:val="it-IT"/>
        </w:rPr>
        <w:widowControl/>
      </w:pPr>
      <w:r>
        <w:rPr>
          <w:szCs w:val="24"/>
          <w:lang w:val="it-IT"/>
        </w:rPr>
        <w:t>I possibili vantaggi includono protezione brevettuale, reputazione presso medici e pazienti, esperienza clinica e commerciale, relazioni distributive e apprendimento. I costi di switching e l'incertezza su farmaci più recenti possono rallentare l'adozione dei concorrenti. Il vantaggio resta limitato dalla scadenza dei brevetti, dall'imitazione e dall'arrivo di terapie superiori; inoltre i concorrenti possono beneficiare dell'educazione del mercato svolta dal pioniere.</w:t>
      </w:r>
    </w:p>
    <w:p w14:paraId="34A7F805" w14:textId="77777777" w:rsidR="00C928E2" w:rsidRPr="00DE7269" w:rsidRDefault="00C928E2" w:rsidP="00C928E2">
      <w:pPr>
        <w:pStyle w:val="BodyTextIndent2"/>
        <w:spacing w:line="120" w:lineRule="auto" w:before="0" w:after="0"/>
        <w:ind w:firstLine="0"/>
        <w:rPr>
          <w:szCs w:val="24"/>
          <w:lang w:val="it-IT"/>
        </w:rPr>
        <w:widowControl/>
      </w:pPr>
    </w:p>
    <w:p w14:paraId="6A064FF2" w14:textId="2AE29B54" w:rsidR="00AF1F88" w:rsidRPr="00C928E2" w:rsidRDefault="00DE7269" w:rsidP="00C928E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60" w:after="60" w:line="260" w:lineRule="auto"/>
        <w:rPr>
          <w:b/>
          <w:szCs w:val="24"/>
          <w:lang w:val="it-IT"/>
        </w:rPr>
        <w:keepNext/>
      </w:pPr>
      <w:r>
        <w:rPr>
          <w:b/>
          <w:szCs w:val="24"/>
          <w:lang w:val="it-IT"/>
        </w:rPr>
        <w:t>8. Nel 2000 furono introdotti due formati audio ad alta risoluzione incompatibili, Super Audio CD (SACD) e DVD-Audio (DVD-A). Entrambi promettevano una qualità vicina a quella dello studio di registrazione, ma richiedevano lettori e cataloghi compatibili. SACD è sopravvissuto in una piccola nicchia di musica classica, jazz e audiofili, mentre DVD-A è stato sostanzialmente abbandonato. Perché l'audio ad alta risoluzione è rimasto un prodotto di nicchia?</w:t>
      </w:r>
    </w:p>
    <w:p w14:paraId="0F35D611" w14:textId="77777777" w:rsidR="00AF1F88" w:rsidRPr="00DE7269" w:rsidRDefault="00AF1F88" w:rsidP="00C928E2">
      <w:pPr>
        <w:pStyle w:val="BodyText"/>
        <w:spacing w:line="120" w:lineRule="auto" w:before="0" w:after="0"/>
        <w:ind w:left="360" w:hanging="270"/>
        <w:rPr>
          <w:b/>
          <w:sz w:val="24"/>
          <w:szCs w:val="24"/>
          <w:lang w:val="it-IT"/>
        </w:rPr>
        <w:widowControl/>
      </w:pPr>
    </w:p>
    <w:p w14:paraId="3BB5E2C6" w14:textId="7296D20A" w:rsidR="00DE7269" w:rsidRPr="000532FA" w:rsidRDefault="00DE7269" w:rsidP="00C928E2">
      <w:pPr>
        <w:pStyle w:val="Tab2"/>
        <w:spacing w:before="0" w:after="80" w:line="260" w:lineRule="auto"/>
        <w:ind w:right="0"/>
        <w:jc w:val="left"/>
        <w:rPr>
          <w:sz w:val="24"/>
          <w:szCs w:val="24"/>
          <w:lang w:val="it-IT"/>
        </w:rPr>
        <w:widowControl/>
      </w:pPr>
      <w:r>
        <w:rPr>
          <w:sz w:val="24"/>
          <w:szCs w:val="24"/>
          <w:lang w:val="it-IT"/>
        </w:rPr>
        <w:t>Per la maggior parte degli ascoltatori il miglioramento percepito rispetto al CD era modesto, mentre il costo di lettori, impianti e nuovi supporti era elevato. La presenza di due formati incompatibili frammentava la base installata e riduceva l'incentivo delle etichette a produrre cataloghi ampi; senza un numero sufficiente di titoli, diminuiva a sua volta l'incentivo dei consumatori ad acquistare hardware dedicato.</w:t>
      </w:r>
    </w:p>
    <w:p w14:paraId="4BC9A5FD" w14:textId="77777777" w:rsidR="00DE7269" w:rsidRPr="00DE7269" w:rsidRDefault="00DE7269" w:rsidP="00DE7269">
      <w:pPr>
        <w:pStyle w:val="BodyTextIndent"/>
        <w:tabs>
          <w:tab w:val="num" w:pos="1800"/>
        </w:tabs>
        <w:spacing w:line="260" w:lineRule="auto" w:before="0" w:after="80"/>
        <w:rPr>
          <w:b w:val="0"/>
          <w:bCs/>
          <w:szCs w:val="24"/>
          <w:lang w:val="it-IT"/>
        </w:rPr>
        <w:widowControl/>
      </w:pPr>
      <w:r>
        <w:rPr>
          <w:b w:val="0"/>
          <w:bCs/>
          <w:szCs w:val="24"/>
          <w:lang w:val="it-IT"/>
        </w:rPr>
        <w:t>Inoltre, CD e poi file compressi e streaming erano «abbastanza buoni» e offrivano molta più comodità e disponibilità. SACD ha potuto sopravvivere dove una piccola nicchia attribuisce alto valore alla qualità e sostiene i complementi necessari; DVD-A non ha raggiunto una massa critica analoga. Il caso mostra come beneficio incrementale, standard, base installata e beni complementari determinino l'adozione.</w:t>
      </w:r>
    </w:p>
    <w:p w14:paraId="7FE6C479" w14:textId="77777777" w:rsidR="00DE7269" w:rsidRPr="00DE7269" w:rsidRDefault="00DE7269" w:rsidP="00C05922">
      <w:pPr>
        <w:pStyle w:val="Tab2"/>
        <w:spacing w:before="0" w:after="0" w:line="120" w:lineRule="auto"/>
        <w:ind w:right="0"/>
        <w:jc w:val="left"/>
        <w:rPr>
          <w:sz w:val="24"/>
          <w:szCs w:val="24"/>
          <w:lang w:val="it-IT"/>
        </w:rPr>
        <w:widowControl/>
      </w:pPr>
    </w:p>
    <w:p w14:paraId="530C4347" w14:textId="77777777" w:rsidR="00DE7269" w:rsidRPr="00DE7269" w:rsidRDefault="00DE7269" w:rsidP="00C05922">
      <w:pPr>
        <w:pStyle w:val="Tab2"/>
        <w:spacing w:before="0" w:after="0" w:line="120" w:lineRule="auto"/>
        <w:ind w:right="0"/>
        <w:jc w:val="left"/>
        <w:rPr>
          <w:sz w:val="24"/>
          <w:szCs w:val="24"/>
          <w:lang w:val="it-IT"/>
        </w:rPr>
        <w:widowControl/>
      </w:pPr>
      <w:r>
        <w:rPr>
          <w:sz w:val="24"/>
          <w:szCs w:val="24"/>
          <w:lang w:val="it-IT"/>
        </w:rPr>
      </w:r>
    </w:p>
    <w:p w14:paraId="12A97464" w14:textId="77777777" w:rsidR="00DE7269" w:rsidRPr="00DE7269" w:rsidRDefault="00DE7269" w:rsidP="00C05922">
      <w:pPr>
        <w:pStyle w:val="Tab2"/>
        <w:spacing w:before="0" w:after="0" w:line="120" w:lineRule="auto"/>
        <w:ind w:left="0" w:right="0"/>
        <w:jc w:val="left"/>
        <w:rPr>
          <w:sz w:val="24"/>
          <w:szCs w:val="24"/>
          <w:lang w:val="it-IT"/>
        </w:rPr>
        <w:widowControl/>
      </w:pPr>
    </w:p>
    <w:p w14:paraId="09E2CFE9" w14:textId="77777777" w:rsidR="00DE7269" w:rsidRPr="00DE7269" w:rsidRDefault="00DE7269" w:rsidP="00C05922">
      <w:pPr>
        <w:pStyle w:val="Tab2"/>
        <w:spacing w:before="0" w:after="0" w:line="120" w:lineRule="auto"/>
        <w:ind w:right="0"/>
        <w:jc w:val="left"/>
        <w:rPr>
          <w:sz w:val="24"/>
          <w:szCs w:val="24"/>
          <w:lang w:val="it-IT"/>
        </w:rPr>
        <w:widowControl/>
      </w:pPr>
    </w:p>
    <w:p w14:paraId="2D21E5DC" w14:textId="6510A695" w:rsidR="00AF1F88" w:rsidRPr="00791048" w:rsidRDefault="00AF1F88" w:rsidP="00AF1F88">
      <w:pPr>
        <w:pStyle w:val="Tab2"/>
        <w:spacing w:before="160" w:after="60" w:line="260" w:lineRule="auto"/>
        <w:ind w:right="0" w:hanging="360"/>
        <w:jc w:val="left"/>
        <w:rPr>
          <w:b/>
          <w:sz w:val="24"/>
          <w:szCs w:val="24"/>
          <w:lang w:val="it-IT"/>
        </w:rPr>
        <w:widowControl/>
        <w:keepNext/>
      </w:pPr>
      <w:r w:rsidRPr="00791048">
        <w:rPr>
          <w:b/>
          <w:sz w:val="24"/>
          <w:szCs w:val="24"/>
          <w:lang w:val="it-IT"/>
        </w:rPr>
        <w:t>9</w:t>
      </w:r>
      <w:r w:rsidR="00DE7269" w:rsidRPr="00791048">
        <w:rPr>
          <w:b/>
          <w:sz w:val="24"/>
          <w:szCs w:val="24"/>
          <w:lang w:val="it-IT"/>
        </w:rPr>
        <w:t xml:space="preserve">. </w:t>
      </w:r>
      <w:r w:rsidR="00DE7269" w:rsidRPr="00791048">
        <w:rPr>
          <w:rFonts w:eastAsiaTheme="minorHAnsi"/>
          <w:b/>
          <w:snapToGrid/>
          <w:sz w:val="24"/>
          <w:szCs w:val="24"/>
          <w:lang w:val="it-IT"/>
          <w14:ligatures w14:val="standardContextual"/>
        </w:rPr>
        <w:t xml:space="preserve">Si pensi a un'industria in cui un'impresa può aspettarsi di vendere 1000 unità ogni anno </w:t>
      </w:r>
      <w:r w:rsidR="00DE7269" w:rsidRPr="00791048">
        <w:rPr>
          <w:rFonts w:eastAsiaTheme="minorHAnsi"/>
          <w:b/>
          <w:snapToGrid/>
          <w:sz w:val="24"/>
          <w:szCs w:val="24"/>
          <w:lang w:val="it-IT"/>
          <w14:ligatures w14:val="standardContextual"/>
        </w:rPr>
        <w:lastRenderedPageBreak/>
        <w:t xml:space="preserve">a un prezzo di mercato pari a P. Prima dell'entrata sul mercato, le imprese non conoscono con certezza i propri costi di produzione, ma pensano che sia ugualmente probabile che i costi unitari siano 2, 4, 6, o 8 dollari. I costi di produzione annualizzati non recuperabili sono pari a 1500 dollari; le imprese non potranno </w:t>
      </w:r>
      <w:r w:rsidR="000532FA" w:rsidRPr="00791048">
        <w:rPr>
          <w:rFonts w:eastAsiaTheme="minorHAnsi"/>
          <w:b/>
          <w:snapToGrid/>
          <w:sz w:val="24"/>
          <w:szCs w:val="24"/>
          <w:lang w:val="it-IT"/>
          <w14:ligatures w14:val="standardContextual"/>
        </w:rPr>
        <w:t>ovviamente</w:t>
      </w:r>
      <w:r w:rsidR="00DE7269" w:rsidRPr="00791048">
        <w:rPr>
          <w:rFonts w:eastAsiaTheme="minorHAnsi"/>
          <w:b/>
          <w:snapToGrid/>
          <w:sz w:val="24"/>
          <w:szCs w:val="24"/>
          <w:lang w:val="it-IT"/>
          <w14:ligatures w14:val="standardContextual"/>
        </w:rPr>
        <w:t xml:space="preserve"> recuperare questa somma qualora decidessero di uscire dal mercato. Qual è il prezzo di equilibrio al quale le imprese saranno indifferenti nei confronti dell'entrata sul mercato? Qual è il profitto medio delle imprese che effettivamente produrranno? (Suggerimento: le imprese continueranno a produrre finché i prezzi saranno pari o superiori ai costi unitari di produzione).</w:t>
      </w:r>
    </w:p>
    <w:p w14:paraId="087BEB76" w14:textId="77777777" w:rsidR="00AF1F88" w:rsidRPr="00DE7269" w:rsidRDefault="00AF1F88" w:rsidP="00AF1F88">
      <w:pPr>
        <w:pStyle w:val="Tab2"/>
        <w:spacing w:before="0" w:after="0" w:line="120" w:lineRule="auto"/>
        <w:ind w:right="0" w:hanging="360"/>
        <w:jc w:val="left"/>
        <w:rPr>
          <w:b/>
          <w:sz w:val="24"/>
          <w:szCs w:val="24"/>
          <w:lang w:val="it-IT"/>
        </w:rPr>
        <w:widowControl/>
      </w:pPr>
    </w:p>
    <w:p w14:paraId="45210FC6" w14:textId="77777777" w:rsidR="00DE7269" w:rsidRPr="00DE7269" w:rsidRDefault="00DE7269" w:rsidP="00257130">
      <w:pPr>
        <w:pStyle w:val="Tab2"/>
        <w:spacing w:before="0" w:after="80" w:line="260" w:lineRule="auto"/>
        <w:ind w:right="0"/>
        <w:jc w:val="left"/>
        <w:rPr>
          <w:sz w:val="24"/>
          <w:szCs w:val="24"/>
          <w:lang w:val="it-IT"/>
        </w:rPr>
        <w:widowControl/>
      </w:pPr>
      <w:r>
        <w:rPr>
          <w:sz w:val="24"/>
          <w:szCs w:val="24"/>
          <w:lang w:val="it-IT"/>
        </w:rPr>
        <w:t>L'impresa entra prima di conoscere C e, dopo averlo osservato, produce solo se P ≥ C. Il profitto atteso di entrata è quindi E[max{1000(P − C), 0}] − 1500. Per 4 &lt; P ≤ 6 producono certamente i tipi con C = 2 e C = 4; ponendo a zero il profitto atteso si ottiene 0,25[1000(P − 2) + 1000(P − 4)] − 1500 = 0, da cui P = 6 dollari. A quel prezzo il tipo C = 6 è indifferente tra produrre e non produrre, mentre C = 8 esce. Il calcolo deve tenere conto dell'opzione di uscita: usare semplicemente E[C] = 5 porta erroneamente a 6,50 dollari.</w:t>
      </w:r>
    </w:p>
    <w:p w14:paraId="2066E78A" w14:textId="77777777" w:rsidR="00DE7269" w:rsidRPr="00DE7269" w:rsidRDefault="00DE7269" w:rsidP="00257130">
      <w:pPr>
        <w:pStyle w:val="Tab2"/>
        <w:spacing w:before="0" w:after="0" w:line="120" w:lineRule="auto"/>
        <w:ind w:right="0" w:hanging="360"/>
        <w:jc w:val="left"/>
        <w:rPr>
          <w:sz w:val="24"/>
          <w:szCs w:val="24"/>
          <w:lang w:val="it-IT"/>
        </w:rPr>
        <w:widowControl/>
      </w:pPr>
    </w:p>
    <w:p w14:paraId="26CD4CFC" w14:textId="5F8FA6A2" w:rsidR="00DE7269" w:rsidRDefault="00DE7269" w:rsidP="00257130">
      <w:pPr>
        <w:pStyle w:val="Tab2"/>
        <w:spacing w:before="0" w:after="80" w:line="260" w:lineRule="auto"/>
        <w:ind w:right="0"/>
        <w:jc w:val="left"/>
        <w:rPr>
          <w:sz w:val="24"/>
          <w:szCs w:val="24"/>
          <w:lang w:val="it-IT"/>
        </w:rPr>
        <w:widowControl/>
      </w:pPr>
      <w:r>
        <w:rPr>
          <w:sz w:val="24"/>
          <w:szCs w:val="24"/>
          <w:lang w:val="it-IT"/>
        </w:rPr>
        <w:t>Dato il suggerimento, il tipo C = 6 produce quando P = C. I profitti netti annui dei tipi C = 2, 4 e 6 sono rispettivamente 2.500, 500 e −1.500 dollari; il profitto medio delle imprese che producono è quindi (2.500 + 500 − 1.500)/3 = 500 dollari. Prima di conoscere C, il profitto atteso dell'entrante è zero.</w:t>
      </w:r>
    </w:p>
    <w:p w14:paraId="1A56EC6F" w14:textId="5F744CC1" w:rsidR="00AF1F88" w:rsidRPr="00C928E2" w:rsidRDefault="00AF1F88" w:rsidP="00AF1F88">
      <w:pPr>
        <w:tabs>
          <w:tab w:val="left" w:pos="360"/>
          <w:tab w:val="left" w:pos="4860"/>
        </w:tabs>
        <w:spacing w:before="160" w:after="60" w:line="260" w:lineRule="auto"/>
        <w:ind w:left="360" w:hanging="360"/>
        <w:rPr>
          <w:b/>
          <w:bCs/>
          <w:spacing w:val="-2"/>
          <w:szCs w:val="24"/>
          <w:lang w:val="it-IT"/>
        </w:rPr>
        <w:widowControl/>
        <w:keepNext/>
      </w:pPr>
      <w:r w:rsidRPr="00C928E2">
        <w:rPr>
          <w:b/>
          <w:bCs/>
          <w:szCs w:val="24"/>
          <w:lang w:val="it-IT"/>
        </w:rPr>
        <w:t xml:space="preserve">10. </w:t>
      </w:r>
      <w:r w:rsidR="00DE7269" w:rsidRPr="00C928E2">
        <w:rPr>
          <w:rFonts w:eastAsiaTheme="minorHAnsi"/>
          <w:b/>
          <w:bCs/>
          <w:snapToGrid/>
          <w:szCs w:val="24"/>
          <w:lang w:val="it-IT"/>
          <w14:ligatures w14:val="standardContextual"/>
        </w:rPr>
        <w:t xml:space="preserve">La portata della distruzione creatrice può cambiare da un'impresa all'altra? </w:t>
      </w:r>
      <w:r w:rsidR="000532FA" w:rsidRPr="00C928E2">
        <w:rPr>
          <w:rFonts w:eastAsiaTheme="minorHAnsi"/>
          <w:b/>
          <w:bCs/>
          <w:snapToGrid/>
          <w:szCs w:val="24"/>
          <w:lang w:val="it-IT"/>
          <w14:ligatures w14:val="standardContextual"/>
        </w:rPr>
        <w:t>I</w:t>
      </w:r>
      <w:r w:rsidR="00DE7269" w:rsidRPr="00C928E2">
        <w:rPr>
          <w:rFonts w:eastAsiaTheme="minorHAnsi"/>
          <w:b/>
          <w:bCs/>
          <w:snapToGrid/>
          <w:szCs w:val="24"/>
          <w:lang w:val="it-IT"/>
          <w14:ligatures w14:val="standardContextual"/>
        </w:rPr>
        <w:t>l rischio della distruzione creatrice può essere incorporato in un'analisi delle cinque forze di Porter?</w:t>
      </w:r>
    </w:p>
    <w:p w14:paraId="13B9292E" w14:textId="77777777" w:rsidR="00AF1F88" w:rsidRPr="00DE7269" w:rsidRDefault="00AF1F88" w:rsidP="00AF1F88">
      <w:pPr>
        <w:tabs>
          <w:tab w:val="left" w:pos="360"/>
          <w:tab w:val="left" w:pos="4860"/>
        </w:tabs>
        <w:spacing w:before="0" w:after="0" w:line="120" w:lineRule="auto"/>
        <w:ind w:left="360" w:hanging="360"/>
        <w:rPr>
          <w:b/>
          <w:bCs/>
          <w:spacing w:val="-2"/>
          <w:szCs w:val="24"/>
          <w:lang w:val="it-IT"/>
        </w:rPr>
        <w:widowControl/>
      </w:pPr>
    </w:p>
    <w:p w14:paraId="60A4160C" w14:textId="5C1FB693" w:rsidR="00DE7269" w:rsidRPr="00DE7269" w:rsidRDefault="00DE7269" w:rsidP="00CF426C">
      <w:pPr>
        <w:pStyle w:val="Tab2"/>
        <w:spacing w:before="0" w:after="80" w:line="260" w:lineRule="auto"/>
        <w:ind w:right="0"/>
        <w:jc w:val="left"/>
        <w:rPr>
          <w:sz w:val="24"/>
          <w:szCs w:val="24"/>
          <w:lang w:val="it-IT"/>
        </w:rPr>
        <w:widowControl/>
      </w:pPr>
      <w:r w:rsidRPr="00DE7269">
        <w:rPr>
          <w:sz w:val="24"/>
          <w:szCs w:val="24"/>
          <w:lang w:val="it-IT"/>
        </w:rPr>
        <w:t xml:space="preserve">La distruzione </w:t>
      </w:r>
      <w:r w:rsidR="00D31108">
        <w:rPr>
          <w:sz w:val="24"/>
          <w:szCs w:val="24"/>
          <w:lang w:val="it-IT"/>
        </w:rPr>
        <w:t>creatrice</w:t>
      </w:r>
      <w:r w:rsidRPr="00DE7269">
        <w:rPr>
          <w:sz w:val="24"/>
          <w:szCs w:val="24"/>
          <w:lang w:val="it-IT"/>
        </w:rPr>
        <w:t xml:space="preserve"> è il processo attraverso il quale l'innovazione introduce shock o discontinuità che distruggono le vecchie fonti di vantaggio e le sostituiscono con nuove.  Gli imprenditori che sfruttano le opportunità create da questi shock ottengono profitti positivi durante il successivo periodo di relativa calma.  Seguendo questa linea di ragionamento, il vantaggio competitivo basato su risorse o capacità inimitabili o i vantaggi dei primi a muoversi possono alla fine diventare obsoleti man mano che nuove tecnologie sorgono, richiedono cambiamenti o le politiche governative si evolvono.</w:t>
      </w:r>
    </w:p>
    <w:p w14:paraId="11EEAD91" w14:textId="77777777" w:rsidR="00DE7269" w:rsidRPr="00DE7269" w:rsidRDefault="00DE7269" w:rsidP="00CF426C">
      <w:pPr>
        <w:pStyle w:val="Tab2"/>
        <w:spacing w:before="0" w:after="0" w:line="120" w:lineRule="auto"/>
        <w:ind w:right="0"/>
        <w:jc w:val="left"/>
        <w:rPr>
          <w:sz w:val="24"/>
          <w:szCs w:val="24"/>
          <w:lang w:val="it-IT"/>
        </w:rPr>
        <w:widowControl/>
      </w:pPr>
    </w:p>
    <w:p w14:paraId="0C855A09" w14:textId="66614EC7" w:rsidR="00DE7269" w:rsidRPr="00DE7269" w:rsidRDefault="00DE7269" w:rsidP="00CF426C">
      <w:pPr>
        <w:pStyle w:val="Tab2"/>
        <w:spacing w:before="0" w:after="80" w:line="260" w:lineRule="auto"/>
        <w:ind w:right="0"/>
        <w:jc w:val="left"/>
        <w:rPr>
          <w:sz w:val="24"/>
          <w:szCs w:val="24"/>
          <w:lang w:val="it-IT"/>
        </w:rPr>
        <w:widowControl/>
      </w:pPr>
      <w:r w:rsidRPr="00DE7269">
        <w:rPr>
          <w:sz w:val="24"/>
          <w:szCs w:val="24"/>
          <w:lang w:val="it-IT"/>
        </w:rPr>
        <w:t xml:space="preserve">Tutti i settori potrebbero essere colpiti dalla distruzione </w:t>
      </w:r>
      <w:r w:rsidR="00D31108">
        <w:rPr>
          <w:sz w:val="24"/>
          <w:szCs w:val="24"/>
          <w:lang w:val="it-IT"/>
        </w:rPr>
        <w:t>creatrice</w:t>
      </w:r>
      <w:r w:rsidRPr="00DE7269">
        <w:rPr>
          <w:sz w:val="24"/>
          <w:szCs w:val="24"/>
          <w:lang w:val="it-IT"/>
        </w:rPr>
        <w:t xml:space="preserve">, ma l'entità dell'effetto varia certamente da un settore all'altro.  Il cambiamento tecnologico è basso in alcuni settori, mentre molto rapido in altri.  Il rischio di distruzione </w:t>
      </w:r>
      <w:r w:rsidR="00D31108">
        <w:rPr>
          <w:sz w:val="24"/>
          <w:szCs w:val="24"/>
          <w:lang w:val="it-IT"/>
        </w:rPr>
        <w:t>creatrice</w:t>
      </w:r>
      <w:r w:rsidRPr="00DE7269">
        <w:rPr>
          <w:sz w:val="24"/>
          <w:szCs w:val="24"/>
          <w:lang w:val="it-IT"/>
        </w:rPr>
        <w:t xml:space="preserve"> può essere incorporato in un'analisi delle cinque forze adattando una prospettiva dinamica piuttosto che statica.  Le imprese possono determinare in che modo i cambiamenti nella loro tecnologia di produzione (o nella tecnologia dei loro fornitori) potrebbero influenzare la scala minima efficiente nel loro settore e quindi influenzare variabili come l'ingresso, la differenziazione, ecc.</w:t>
      </w:r>
    </w:p>
    <w:p w14:paraId="1CBBCD31" w14:textId="77777777" w:rsidR="00AF1F88" w:rsidRPr="00DE7269" w:rsidRDefault="00AF1F88" w:rsidP="00AF1F88">
      <w:pPr>
        <w:pStyle w:val="Tab2"/>
        <w:spacing w:before="0" w:after="0" w:line="120" w:lineRule="auto"/>
        <w:ind w:right="0"/>
        <w:jc w:val="left"/>
        <w:rPr>
          <w:sz w:val="24"/>
          <w:szCs w:val="24"/>
          <w:lang w:val="it-IT"/>
        </w:rPr>
        <w:widowControl/>
      </w:pPr>
    </w:p>
    <w:p w14:paraId="2EC06556" w14:textId="77777777" w:rsidR="000532FA" w:rsidRDefault="000532FA" w:rsidP="00257130">
      <w:pPr>
        <w:pStyle w:val="Tab2"/>
        <w:spacing w:before="0" w:after="0" w:line="120" w:lineRule="auto"/>
        <w:ind w:right="0"/>
        <w:jc w:val="left"/>
        <w:rPr>
          <w:sz w:val="24"/>
          <w:szCs w:val="24"/>
          <w:lang w:val="it-IT"/>
        </w:rPr>
        <w:widowControl/>
      </w:pPr>
    </w:p>
    <w:p w14:paraId="5D158FF5" w14:textId="77777777" w:rsidR="000532FA" w:rsidRPr="00DE7269" w:rsidRDefault="000532FA" w:rsidP="00257130">
      <w:pPr>
        <w:pStyle w:val="Tab2"/>
        <w:spacing w:before="0" w:after="0" w:line="120" w:lineRule="auto"/>
        <w:ind w:right="0"/>
        <w:jc w:val="left"/>
        <w:rPr>
          <w:sz w:val="24"/>
          <w:szCs w:val="24"/>
          <w:lang w:val="it-IT"/>
        </w:rPr>
        <w:widowControl/>
      </w:pPr>
    </w:p>
    <w:p w14:paraId="16C45BFF" w14:textId="77777777" w:rsidR="00AF1F88" w:rsidRPr="00DE7269" w:rsidRDefault="00AF1F88" w:rsidP="00AF1F88">
      <w:pPr>
        <w:pStyle w:val="Tab2"/>
        <w:spacing w:before="0" w:after="0" w:line="120" w:lineRule="auto"/>
        <w:ind w:right="0"/>
        <w:jc w:val="left"/>
        <w:rPr>
          <w:sz w:val="24"/>
          <w:szCs w:val="24"/>
          <w:lang w:val="it-IT"/>
        </w:rPr>
        <w:widowControl/>
      </w:pPr>
    </w:p>
    <w:sectPr w:rsidR="00AF1F88" w:rsidRPr="00DE7269" w:rsidSect="00460869">
      <w:headerReference w:type="even" r:id="rId7"/>
      <w:footerReference w:type="even" r:id="rId8"/>
      <w:footerReference w:type="default" r:id="rId9"/>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46B2CA" w14:textId="77777777" w:rsidR="0040270D" w:rsidRDefault="0040270D">
      <w:pPr>
        <w:spacing w:before="0" w:after="0"/>
      </w:pPr>
      <w:r>
        <w:separator/>
      </w:r>
    </w:p>
  </w:endnote>
  <w:endnote w:type="continuationSeparator" w:id="0">
    <w:p w14:paraId="59DADAA7" w14:textId="77777777" w:rsidR="0040270D" w:rsidRDefault="0040270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65797637"/>
      <w:docPartObj>
        <w:docPartGallery w:val="Page Numbers (Bottom of Page)"/>
        <w:docPartUnique/>
      </w:docPartObj>
    </w:sdtPr>
    <w:sdtContent>
      <w:p w14:paraId="7CA534DE" w14:textId="7C250E3B" w:rsidR="00791048" w:rsidRDefault="00791048" w:rsidP="00CE42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44CBE0" w14:textId="09F44FC7" w:rsidR="00FA2684" w:rsidRPr="00BC198B" w:rsidRDefault="00000000" w:rsidP="00791048">
    <w:pPr>
      <w:pStyle w:val="Footer"/>
      <w:tabs>
        <w:tab w:val="clear" w:pos="4680"/>
        <w:tab w:val="center" w:pos="4320"/>
      </w:tabs>
      <w:ind w:right="360"/>
      <w:rPr>
        <w:sz w:val="20"/>
      </w:rPr>
    </w:pPr>
    <w:r>
      <w:t>14-</w:t>
    </w:r>
    <w:r>
      <w:tab/>
    </w:r>
    <w:r w:rsidRPr="002C08C6">
      <w:rPr>
        <w:sz w:val="20"/>
      </w:rPr>
      <w:tab/>
      <w:t>Copyright © 201</w:t>
    </w:r>
    <w:r>
      <w:rPr>
        <w:sz w:val="20"/>
      </w:rPr>
      <w:t>6</w:t>
    </w:r>
    <w:r w:rsidRPr="002C08C6">
      <w:rPr>
        <w:sz w:val="20"/>
      </w:rPr>
      <w:t xml:space="preserve"> John Wiley &amp; Sons, In</w:t>
    </w:r>
    <w:r>
      <w:rPr>
        <w:sz w:val="20"/>
      </w:rPr>
      <w:t>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8497146"/>
      <w:docPartObj>
        <w:docPartGallery w:val="Page Numbers (Bottom of Page)"/>
        <w:docPartUnique/>
      </w:docPartObj>
    </w:sdtPr>
    <w:sdtContent>
      <w:p w14:paraId="5E7AE2B3" w14:textId="22BAD1AF" w:rsidR="00791048" w:rsidRDefault="00791048" w:rsidP="00CE42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05380A4" w14:textId="77777777" w:rsidR="00791048" w:rsidRDefault="00791048" w:rsidP="007910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4D787C" w14:textId="77777777" w:rsidR="0040270D" w:rsidRDefault="0040270D">
      <w:pPr>
        <w:spacing w:before="0" w:after="0"/>
      </w:pPr>
      <w:r>
        <w:separator/>
      </w:r>
    </w:p>
  </w:footnote>
  <w:footnote w:type="continuationSeparator" w:id="0">
    <w:p w14:paraId="652B0634" w14:textId="77777777" w:rsidR="0040270D" w:rsidRDefault="0040270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4AE7E" w14:textId="77777777" w:rsidR="00FA2684" w:rsidRDefault="00000000">
    <w:pPr>
      <w:pStyle w:val="Header"/>
    </w:pPr>
    <w:r>
      <w:rPr>
        <w:sz w:val="20"/>
      </w:rPr>
      <w:t>Instructor’s Manual</w:t>
    </w:r>
    <w:r>
      <w:rPr>
        <w:sz w:val="20"/>
      </w:rPr>
      <w:tab/>
    </w:r>
    <w:r>
      <w:rPr>
        <w:sz w:val="20"/>
      </w:rPr>
      <w:tab/>
    </w:r>
    <w:r w:rsidRPr="002239B6">
      <w:rPr>
        <w:i/>
        <w:sz w:val="20"/>
      </w:rPr>
      <w:t>Economics of Strategy</w:t>
    </w:r>
    <w:r w:rsidRPr="002C08C6">
      <w:rPr>
        <w:sz w:val="20"/>
      </w:rPr>
      <w:t xml:space="preserve">, </w:t>
    </w:r>
    <w:r>
      <w:rPr>
        <w:sz w:val="20"/>
      </w:rPr>
      <w:t>Seventh</w:t>
    </w:r>
    <w:r w:rsidRPr="002C08C6">
      <w:rPr>
        <w:sz w:val="20"/>
      </w:rPr>
      <w:t xml:space="preserve"> Edition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8A62EA"/>
    <w:multiLevelType w:val="multilevel"/>
    <w:tmpl w:val="05AE2E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7617885"/>
    <w:multiLevelType w:val="hybridMultilevel"/>
    <w:tmpl w:val="F818721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E81DB9"/>
    <w:multiLevelType w:val="hybridMultilevel"/>
    <w:tmpl w:val="D7F6809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854880694">
    <w:abstractNumId w:val="3"/>
  </w:num>
  <w:num w:numId="2" w16cid:durableId="858814421">
    <w:abstractNumId w:val="2"/>
  </w:num>
  <w:num w:numId="3" w16cid:durableId="857888162">
    <w:abstractNumId w:val="0"/>
  </w:num>
  <w:num w:numId="4" w16cid:durableId="89745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F88"/>
    <w:rsid w:val="000532FA"/>
    <w:rsid w:val="00121A92"/>
    <w:rsid w:val="00183FFD"/>
    <w:rsid w:val="001B59B2"/>
    <w:rsid w:val="001C3818"/>
    <w:rsid w:val="0023079C"/>
    <w:rsid w:val="0040270D"/>
    <w:rsid w:val="00460869"/>
    <w:rsid w:val="004C5A0C"/>
    <w:rsid w:val="0057014E"/>
    <w:rsid w:val="00670E32"/>
    <w:rsid w:val="00784AA3"/>
    <w:rsid w:val="00791048"/>
    <w:rsid w:val="00A10C7F"/>
    <w:rsid w:val="00A1219C"/>
    <w:rsid w:val="00A20BD9"/>
    <w:rsid w:val="00AD47A0"/>
    <w:rsid w:val="00AF1F88"/>
    <w:rsid w:val="00B84E76"/>
    <w:rsid w:val="00BA7AE1"/>
    <w:rsid w:val="00C67EDC"/>
    <w:rsid w:val="00C928E2"/>
    <w:rsid w:val="00CC41E4"/>
    <w:rsid w:val="00D31108"/>
    <w:rsid w:val="00DE7269"/>
    <w:rsid w:val="00EC2AF0"/>
    <w:rsid w:val="00F3662D"/>
    <w:rsid w:val="00FA2684"/>
    <w:rsid w:val="00FA2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609E4F"/>
  <w15:chartTrackingRefBased/>
  <w15:docId w15:val="{60A7EF02-ADB3-A548-A577-A8334AFA5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F88"/>
    <w:pPr>
      <w:widowControl w:val="0"/>
      <w:spacing w:before="100" w:after="100"/>
    </w:pPr>
    <w:rPr>
      <w:rFonts w:ascii="Times New Roman" w:eastAsia="Times New Roman" w:hAnsi="Times New Roman" w:cs="Times New Roman"/>
      <w:snapToGrid w:val="0"/>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F1F88"/>
    <w:pPr>
      <w:spacing w:before="0" w:after="0"/>
      <w:ind w:left="720" w:hanging="720"/>
    </w:pPr>
    <w:rPr>
      <w:b/>
    </w:rPr>
  </w:style>
  <w:style w:type="character" w:customStyle="1" w:styleId="BodyTextIndentChar">
    <w:name w:val="Body Text Indent Char"/>
    <w:basedOn w:val="DefaultParagraphFont"/>
    <w:link w:val="BodyTextIndent"/>
    <w:rsid w:val="00AF1F88"/>
    <w:rPr>
      <w:rFonts w:ascii="Times New Roman" w:eastAsia="Times New Roman" w:hAnsi="Times New Roman" w:cs="Times New Roman"/>
      <w:b/>
      <w:snapToGrid w:val="0"/>
      <w:kern w:val="0"/>
      <w:szCs w:val="20"/>
      <w14:ligatures w14:val="none"/>
    </w:rPr>
  </w:style>
  <w:style w:type="paragraph" w:styleId="BodyTextIndent2">
    <w:name w:val="Body Text Indent 2"/>
    <w:basedOn w:val="Normal"/>
    <w:link w:val="BodyTextIndent2Char"/>
    <w:rsid w:val="00AF1F88"/>
    <w:pPr>
      <w:spacing w:before="0" w:after="0"/>
      <w:ind w:left="720" w:hanging="720"/>
    </w:pPr>
  </w:style>
  <w:style w:type="character" w:customStyle="1" w:styleId="BodyTextIndent2Char">
    <w:name w:val="Body Text Indent 2 Char"/>
    <w:basedOn w:val="DefaultParagraphFont"/>
    <w:link w:val="BodyTextIndent2"/>
    <w:rsid w:val="00AF1F88"/>
    <w:rPr>
      <w:rFonts w:ascii="Times New Roman" w:eastAsia="Times New Roman" w:hAnsi="Times New Roman" w:cs="Times New Roman"/>
      <w:snapToGrid w:val="0"/>
      <w:kern w:val="0"/>
      <w:szCs w:val="20"/>
      <w14:ligatures w14:val="none"/>
    </w:rPr>
  </w:style>
  <w:style w:type="paragraph" w:styleId="BodyText3">
    <w:name w:val="Body Text 3"/>
    <w:basedOn w:val="Normal"/>
    <w:link w:val="BodyText3Char"/>
    <w:rsid w:val="00AF1F88"/>
    <w:pPr>
      <w:widowControl/>
      <w:spacing w:before="0" w:after="0"/>
      <w:jc w:val="both"/>
    </w:pPr>
    <w:rPr>
      <w:snapToGrid/>
      <w:sz w:val="22"/>
    </w:rPr>
  </w:style>
  <w:style w:type="character" w:customStyle="1" w:styleId="BodyText3Char">
    <w:name w:val="Body Text 3 Char"/>
    <w:basedOn w:val="DefaultParagraphFont"/>
    <w:link w:val="BodyText3"/>
    <w:rsid w:val="00AF1F88"/>
    <w:rPr>
      <w:rFonts w:ascii="Times New Roman" w:eastAsia="Times New Roman" w:hAnsi="Times New Roman" w:cs="Times New Roman"/>
      <w:kern w:val="0"/>
      <w:sz w:val="22"/>
      <w:szCs w:val="20"/>
      <w14:ligatures w14:val="none"/>
    </w:rPr>
  </w:style>
  <w:style w:type="paragraph" w:styleId="BodyText">
    <w:name w:val="Body Text"/>
    <w:basedOn w:val="Normal"/>
    <w:link w:val="BodyTextChar"/>
    <w:rsid w:val="00AF1F88"/>
    <w:pPr>
      <w:spacing w:before="0" w:after="0"/>
    </w:pPr>
    <w:rPr>
      <w:snapToGrid/>
      <w:sz w:val="22"/>
    </w:rPr>
  </w:style>
  <w:style w:type="character" w:customStyle="1" w:styleId="BodyTextChar">
    <w:name w:val="Body Text Char"/>
    <w:basedOn w:val="DefaultParagraphFont"/>
    <w:link w:val="BodyText"/>
    <w:rsid w:val="00AF1F88"/>
    <w:rPr>
      <w:rFonts w:ascii="Times New Roman" w:eastAsia="Times New Roman" w:hAnsi="Times New Roman" w:cs="Times New Roman"/>
      <w:kern w:val="0"/>
      <w:sz w:val="22"/>
      <w:szCs w:val="20"/>
      <w14:ligatures w14:val="none"/>
    </w:rPr>
  </w:style>
  <w:style w:type="paragraph" w:styleId="PlainText">
    <w:name w:val="Plain Text"/>
    <w:basedOn w:val="Normal"/>
    <w:link w:val="PlainTextChar"/>
    <w:rsid w:val="00AF1F88"/>
    <w:pPr>
      <w:widowControl/>
      <w:spacing w:before="0" w:after="0"/>
    </w:pPr>
    <w:rPr>
      <w:rFonts w:ascii="Courier New" w:hAnsi="Courier New"/>
      <w:snapToGrid/>
      <w:sz w:val="20"/>
    </w:rPr>
  </w:style>
  <w:style w:type="character" w:customStyle="1" w:styleId="PlainTextChar">
    <w:name w:val="Plain Text Char"/>
    <w:basedOn w:val="DefaultParagraphFont"/>
    <w:link w:val="PlainText"/>
    <w:rsid w:val="00AF1F88"/>
    <w:rPr>
      <w:rFonts w:ascii="Courier New" w:eastAsia="Times New Roman" w:hAnsi="Courier New" w:cs="Times New Roman"/>
      <w:kern w:val="0"/>
      <w:sz w:val="20"/>
      <w:szCs w:val="20"/>
      <w14:ligatures w14:val="none"/>
    </w:rPr>
  </w:style>
  <w:style w:type="paragraph" w:customStyle="1" w:styleId="Tab1">
    <w:name w:val="Tab1"/>
    <w:basedOn w:val="Normal"/>
    <w:rsid w:val="00AF1F88"/>
    <w:pPr>
      <w:widowControl/>
      <w:tabs>
        <w:tab w:val="left" w:pos="360"/>
      </w:tabs>
      <w:spacing w:before="160" w:after="0"/>
      <w:ind w:left="360" w:right="180" w:hanging="360"/>
    </w:pPr>
    <w:rPr>
      <w:b/>
      <w:snapToGrid/>
      <w:sz w:val="22"/>
    </w:rPr>
  </w:style>
  <w:style w:type="paragraph" w:customStyle="1" w:styleId="Tab2">
    <w:name w:val="Tab2"/>
    <w:basedOn w:val="Normal"/>
    <w:rsid w:val="00AF1F88"/>
    <w:pPr>
      <w:ind w:left="360" w:right="180"/>
      <w:jc w:val="both"/>
    </w:pPr>
    <w:rPr>
      <w:sz w:val="22"/>
    </w:rPr>
  </w:style>
  <w:style w:type="paragraph" w:styleId="Header">
    <w:name w:val="header"/>
    <w:basedOn w:val="Normal"/>
    <w:link w:val="HeaderChar"/>
    <w:uiPriority w:val="99"/>
    <w:unhideWhenUsed/>
    <w:rsid w:val="00AF1F88"/>
    <w:pPr>
      <w:tabs>
        <w:tab w:val="center" w:pos="4680"/>
        <w:tab w:val="right" w:pos="9360"/>
      </w:tabs>
    </w:pPr>
  </w:style>
  <w:style w:type="character" w:customStyle="1" w:styleId="HeaderChar">
    <w:name w:val="Header Char"/>
    <w:basedOn w:val="DefaultParagraphFont"/>
    <w:link w:val="Header"/>
    <w:uiPriority w:val="99"/>
    <w:rsid w:val="00AF1F88"/>
    <w:rPr>
      <w:rFonts w:ascii="Times New Roman" w:eastAsia="Times New Roman" w:hAnsi="Times New Roman" w:cs="Times New Roman"/>
      <w:snapToGrid w:val="0"/>
      <w:kern w:val="0"/>
      <w:szCs w:val="20"/>
      <w14:ligatures w14:val="none"/>
    </w:rPr>
  </w:style>
  <w:style w:type="paragraph" w:styleId="Footer">
    <w:name w:val="footer"/>
    <w:basedOn w:val="Normal"/>
    <w:link w:val="FooterChar"/>
    <w:uiPriority w:val="99"/>
    <w:unhideWhenUsed/>
    <w:rsid w:val="00AF1F88"/>
    <w:pPr>
      <w:tabs>
        <w:tab w:val="center" w:pos="4680"/>
        <w:tab w:val="right" w:pos="9360"/>
      </w:tabs>
    </w:pPr>
  </w:style>
  <w:style w:type="character" w:customStyle="1" w:styleId="FooterChar">
    <w:name w:val="Footer Char"/>
    <w:basedOn w:val="DefaultParagraphFont"/>
    <w:link w:val="Footer"/>
    <w:uiPriority w:val="99"/>
    <w:rsid w:val="00AF1F88"/>
    <w:rPr>
      <w:rFonts w:ascii="Times New Roman" w:eastAsia="Times New Roman" w:hAnsi="Times New Roman" w:cs="Times New Roman"/>
      <w:snapToGrid w:val="0"/>
      <w:kern w:val="0"/>
      <w:szCs w:val="20"/>
      <w14:ligatures w14:val="none"/>
    </w:rPr>
  </w:style>
  <w:style w:type="character" w:styleId="PageNumber">
    <w:name w:val="page number"/>
    <w:basedOn w:val="DefaultParagraphFont"/>
    <w:uiPriority w:val="99"/>
    <w:semiHidden/>
    <w:unhideWhenUsed/>
    <w:rsid w:val="00791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2039</Words>
  <Characters>11625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Danese Giuseppe</dc:creator>
  <cp:keywords/>
  <dc:description/>
  <cp:lastModifiedBy>Giuseppe Danese</cp:lastModifiedBy>
  <cp:revision>6</cp:revision>
  <dcterms:created xsi:type="dcterms:W3CDTF">2023-12-13T16:31:00Z</dcterms:created>
  <dcterms:modified xsi:type="dcterms:W3CDTF">2024-10-29T16:31:00Z</dcterms:modified>
</cp:coreProperties>
</file>