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987E0" w14:textId="77777777" w:rsidR="00E52BA8" w:rsidRPr="00AA4264" w:rsidRDefault="00E52BA8" w:rsidP="00E52BA8">
      <w:pPr>
        <w:spacing w:before="0" w:after="0" w:line="120" w:lineRule="auto"/>
        <w:ind w:left="360"/>
        <w:rPr>
          <w:rFonts w:ascii="Liberation Serif" w:hAnsi="Liberation Serif" w:cs="Liberation Serif"/>
          <w:sz w:val="22"/>
          <w:szCs w:val="22"/>
        </w:rPr>
        <w:widowControl/>
      </w:pPr>
    </w:p>
    <w:p w14:paraId="69F84C1C" w14:textId="77777777" w:rsidR="00A16556" w:rsidRPr="00AA4264" w:rsidRDefault="00A16556" w:rsidP="00E52BA8">
      <w:pPr>
        <w:pStyle w:val="BodyText"/>
        <w:spacing w:line="120" w:lineRule="auto" w:before="0" w:after="0"/>
        <w:ind w:left="360"/>
        <w:rPr>
          <w:rFonts w:ascii="Liberation Serif" w:hAnsi="Liberation Serif" w:cs="Liberation Serif"/>
          <w:szCs w:val="22"/>
        </w:rPr>
        <w:widowControl/>
      </w:pPr>
    </w:p>
    <w:p w14:paraId="5E3AA772" w14:textId="664F8EFF" w:rsidR="00EB2314" w:rsidRPr="00D75139" w:rsidRDefault="00EB2314" w:rsidP="00EB2314">
      <w:pPr>
        <w:pStyle w:val="BodyText"/>
        <w:spacing w:line="260" w:lineRule="auto" w:before="160" w:after="60"/>
        <w:ind w:left="360"/>
        <w:rPr>
          <w:rFonts w:ascii="Liberation Serif" w:hAnsi="Liberation Serif" w:cs="Liberation Serif"/>
          <w:b/>
          <w:bCs/>
          <w:szCs w:val="22"/>
          <w:lang w:val="it-IT"/>
        </w:rPr>
        <w:widowControl/>
        <w:keepNext/>
      </w:pPr>
      <w:r>
        <w:rPr>
          <w:rFonts w:ascii="Liberation Serif" w:hAnsi="Liberation Serif" w:cs="Liberation Serif"/>
          <w:b/>
          <w:bCs/>
          <w:szCs w:val="22"/>
          <w:lang w:val="it-IT"/>
        </w:rPr>
        <w:t>3. Matilda Bottlers imbottiglia e distribuisce vini e liquori in Australia. Big Gator è un'impresa conglomerata che produce, tra l'altro, una nota birra bionda. In virtù di un contratto di lunga durata, Matilda ha l'esclusiva sull'imbottigliamento e sulla distribuzione della Big Gator Beer nel Nuovo Galles del Sud, il più grande stato australiano. Matilda sfrutta il proprio potere di monopsonio per pagare la birra meno degli imbottigliatori degli altri stati. Per Big Gator, questa sarebbe una giustificazione sufficiente per acquisire Matilda Bottlers?</w:t>
      </w:r>
    </w:p>
    <w:p w14:paraId="787CE71A" w14:textId="77777777" w:rsidR="00E52BA8" w:rsidRPr="00D75139" w:rsidRDefault="00E52BA8" w:rsidP="00E52BA8">
      <w:pPr>
        <w:pStyle w:val="BodyText"/>
        <w:spacing w:line="120" w:lineRule="auto" w:before="0" w:after="0"/>
        <w:ind w:left="360"/>
        <w:rPr>
          <w:rFonts w:ascii="Liberation Serif" w:hAnsi="Liberation Serif" w:cs="Liberation Serif"/>
          <w:b/>
          <w:bCs/>
          <w:szCs w:val="22"/>
          <w:lang w:val="it-IT"/>
        </w:rPr>
        <w:widowControl/>
      </w:pPr>
    </w:p>
    <w:p w14:paraId="4122596A" w14:textId="62CD5267" w:rsidR="00EB2314" w:rsidRPr="00D75139" w:rsidRDefault="00EB2314" w:rsidP="00854315">
      <w:pPr>
        <w:spacing w:before="0" w:after="80" w:line="260" w:lineRule="auto"/>
        <w:ind w:left="360"/>
        <w:rPr>
          <w:rFonts w:ascii="Liberation Serif" w:hAnsi="Liberation Serif" w:cs="Liberation Serif"/>
          <w:sz w:val="22"/>
          <w:szCs w:val="22"/>
          <w:lang w:val="it-IT"/>
        </w:rPr>
        <w:widowControl/>
      </w:pPr>
      <w:r w:rsidRPr="00D75139">
        <w:rPr>
          <w:rFonts w:ascii="Liberation Serif" w:hAnsi="Liberation Serif" w:cs="Liberation Serif"/>
          <w:sz w:val="22"/>
          <w:szCs w:val="22"/>
          <w:lang w:val="it-IT"/>
        </w:rPr>
        <w:t xml:space="preserve">Big </w:t>
      </w:r>
      <w:proofErr w:type="spellStart"/>
      <w:r w:rsidRPr="00D75139">
        <w:rPr>
          <w:rFonts w:ascii="Liberation Serif" w:hAnsi="Liberation Serif" w:cs="Liberation Serif"/>
          <w:sz w:val="22"/>
          <w:szCs w:val="22"/>
          <w:lang w:val="it-IT"/>
        </w:rPr>
        <w:t>Gator</w:t>
      </w:r>
      <w:proofErr w:type="spellEnd"/>
      <w:r w:rsidRPr="00D75139">
        <w:rPr>
          <w:rFonts w:ascii="Liberation Serif" w:hAnsi="Liberation Serif" w:cs="Liberation Serif"/>
          <w:sz w:val="22"/>
          <w:szCs w:val="22"/>
          <w:lang w:val="it-IT"/>
        </w:rPr>
        <w:t xml:space="preserve"> non dovrebbe acquistare automaticamente Matilda semplicemente perché Matilda è in grado di pagare un prezzo inferiore per i prodotti di Big </w:t>
      </w:r>
      <w:proofErr w:type="spellStart"/>
      <w:r w:rsidRPr="00D75139">
        <w:rPr>
          <w:rFonts w:ascii="Liberation Serif" w:hAnsi="Liberation Serif" w:cs="Liberation Serif"/>
          <w:sz w:val="22"/>
          <w:szCs w:val="22"/>
          <w:lang w:val="it-IT"/>
        </w:rPr>
        <w:t>Gator</w:t>
      </w:r>
      <w:proofErr w:type="spellEnd"/>
      <w:r w:rsidRPr="00D75139">
        <w:rPr>
          <w:rFonts w:ascii="Liberation Serif" w:hAnsi="Liberation Serif" w:cs="Liberation Serif"/>
          <w:sz w:val="22"/>
          <w:szCs w:val="22"/>
          <w:lang w:val="it-IT"/>
        </w:rPr>
        <w:t xml:space="preserve">.  Piuttosto, Big </w:t>
      </w:r>
      <w:proofErr w:type="spellStart"/>
      <w:r w:rsidRPr="00D75139">
        <w:rPr>
          <w:rFonts w:ascii="Liberation Serif" w:hAnsi="Liberation Serif" w:cs="Liberation Serif"/>
          <w:sz w:val="22"/>
          <w:szCs w:val="22"/>
          <w:lang w:val="it-IT"/>
        </w:rPr>
        <w:t>Gator</w:t>
      </w:r>
      <w:proofErr w:type="spellEnd"/>
      <w:r w:rsidRPr="00D75139">
        <w:rPr>
          <w:rFonts w:ascii="Liberation Serif" w:hAnsi="Liberation Serif" w:cs="Liberation Serif"/>
          <w:sz w:val="22"/>
          <w:szCs w:val="22"/>
          <w:lang w:val="it-IT"/>
        </w:rPr>
        <w:t xml:space="preserve"> dovrebbe determinare se esiste un fallimento del mercato che giustificherebbe una decisione di integrazione verticale.</w:t>
      </w:r>
    </w:p>
    <w:p w14:paraId="5DCD1624" w14:textId="77777777" w:rsidR="00EB2314" w:rsidRPr="00D75139" w:rsidRDefault="00EB2314" w:rsidP="00854315">
      <w:pPr>
        <w:spacing w:before="0" w:after="80" w:line="260" w:lineRule="auto"/>
        <w:ind w:left="360"/>
        <w:rPr>
          <w:rFonts w:ascii="Liberation Serif" w:hAnsi="Liberation Serif" w:cs="Liberation Serif"/>
          <w:sz w:val="22"/>
          <w:szCs w:val="22"/>
          <w:u w:val="single"/>
          <w:lang w:val="it-IT"/>
        </w:rPr>
        <w:widowControl/>
      </w:pPr>
      <w:r w:rsidRPr="00D75139">
        <w:rPr>
          <w:rFonts w:ascii="Liberation Serif" w:hAnsi="Liberation Serif" w:cs="Liberation Serif"/>
          <w:sz w:val="22"/>
          <w:szCs w:val="22"/>
          <w:u w:val="single"/>
          <w:lang w:val="it-IT"/>
        </w:rPr>
        <w:t xml:space="preserve">Motivi per cui Big </w:t>
      </w:r>
      <w:proofErr w:type="spellStart"/>
      <w:r w:rsidRPr="00D75139">
        <w:rPr>
          <w:rFonts w:ascii="Liberation Serif" w:hAnsi="Liberation Serif" w:cs="Liberation Serif"/>
          <w:sz w:val="22"/>
          <w:szCs w:val="22"/>
          <w:u w:val="single"/>
          <w:lang w:val="it-IT"/>
        </w:rPr>
        <w:t>Gator</w:t>
      </w:r>
      <w:proofErr w:type="spellEnd"/>
      <w:r w:rsidRPr="00D75139">
        <w:rPr>
          <w:rFonts w:ascii="Liberation Serif" w:hAnsi="Liberation Serif" w:cs="Liberation Serif"/>
          <w:sz w:val="22"/>
          <w:szCs w:val="22"/>
          <w:u w:val="single"/>
          <w:lang w:val="it-IT"/>
        </w:rPr>
        <w:t xml:space="preserve"> </w:t>
      </w:r>
      <w:r w:rsidRPr="00D75139">
        <w:rPr>
          <w:rFonts w:ascii="Liberation Serif" w:hAnsi="Liberation Serif" w:cs="Liberation Serif"/>
          <w:b/>
          <w:bCs/>
          <w:sz w:val="22"/>
          <w:szCs w:val="22"/>
          <w:u w:val="single"/>
          <w:lang w:val="it-IT"/>
        </w:rPr>
        <w:t>non dovrebbe</w:t>
      </w:r>
      <w:r w:rsidRPr="00D75139">
        <w:rPr>
          <w:rFonts w:ascii="Liberation Serif" w:hAnsi="Liberation Serif" w:cs="Liberation Serif"/>
          <w:sz w:val="22"/>
          <w:szCs w:val="22"/>
          <w:u w:val="single"/>
          <w:lang w:val="it-IT"/>
        </w:rPr>
        <w:t xml:space="preserve"> integrarsi verticalmente:</w:t>
      </w:r>
    </w:p>
    <w:p w14:paraId="1FD74CBB" w14:textId="33ECC0F7" w:rsidR="00EB2314" w:rsidRPr="00D75139" w:rsidRDefault="00EB2314" w:rsidP="00EB2314">
      <w:pPr>
        <w:numPr>
          <w:ilvl w:val="0"/>
          <w:numId w:val="15"/>
        </w:numPr>
        <w:spacing w:before="0" w:after="80" w:line="260" w:lineRule="auto"/>
        <w:rPr>
          <w:rFonts w:ascii="Liberation Serif" w:hAnsi="Liberation Serif" w:cs="Liberation Serif"/>
          <w:sz w:val="22"/>
          <w:szCs w:val="22"/>
          <w:lang w:val="it-IT"/>
        </w:rPr>
        <w:widowControl/>
      </w:pPr>
      <w:r w:rsidRPr="00D75139">
        <w:rPr>
          <w:rFonts w:ascii="Liberation Serif" w:hAnsi="Liberation Serif" w:cs="Liberation Serif"/>
          <w:sz w:val="22"/>
          <w:szCs w:val="22"/>
          <w:lang w:val="it-IT"/>
        </w:rPr>
        <w:t xml:space="preserve">I profitti guadagnati da Matilda </w:t>
      </w:r>
      <w:proofErr w:type="spellStart"/>
      <w:r w:rsidRPr="00D75139">
        <w:rPr>
          <w:rFonts w:ascii="Liberation Serif" w:hAnsi="Liberation Serif" w:cs="Liberation Serif"/>
          <w:sz w:val="22"/>
          <w:szCs w:val="22"/>
          <w:lang w:val="it-IT"/>
        </w:rPr>
        <w:t>Bottlers</w:t>
      </w:r>
      <w:proofErr w:type="spellEnd"/>
      <w:r w:rsidRPr="00D75139">
        <w:rPr>
          <w:rFonts w:ascii="Liberation Serif" w:hAnsi="Liberation Serif" w:cs="Liberation Serif"/>
          <w:sz w:val="22"/>
          <w:szCs w:val="22"/>
          <w:lang w:val="it-IT"/>
        </w:rPr>
        <w:t xml:space="preserve"> (che incorporano il prezzo scontato per </w:t>
      </w:r>
      <w:r w:rsidR="00D75139">
        <w:rPr>
          <w:rFonts w:ascii="Liberation Serif" w:hAnsi="Liberation Serif" w:cs="Liberation Serif"/>
          <w:sz w:val="22"/>
          <w:szCs w:val="22"/>
          <w:lang w:val="it-IT"/>
        </w:rPr>
        <w:t xml:space="preserve">la birra </w:t>
      </w:r>
      <w:r w:rsidRPr="00D75139">
        <w:rPr>
          <w:rFonts w:ascii="Liberation Serif" w:hAnsi="Liberation Serif" w:cs="Liberation Serif"/>
          <w:sz w:val="22"/>
          <w:szCs w:val="22"/>
          <w:lang w:val="it-IT"/>
        </w:rPr>
        <w:t xml:space="preserve">Big </w:t>
      </w:r>
      <w:proofErr w:type="spellStart"/>
      <w:r w:rsidRPr="00D75139">
        <w:rPr>
          <w:rFonts w:ascii="Liberation Serif" w:hAnsi="Liberation Serif" w:cs="Liberation Serif"/>
          <w:sz w:val="22"/>
          <w:szCs w:val="22"/>
          <w:lang w:val="it-IT"/>
        </w:rPr>
        <w:t>Gator</w:t>
      </w:r>
      <w:proofErr w:type="spellEnd"/>
      <w:r w:rsidRPr="00D75139">
        <w:rPr>
          <w:rFonts w:ascii="Liberation Serif" w:hAnsi="Liberation Serif" w:cs="Liberation Serif"/>
          <w:sz w:val="22"/>
          <w:szCs w:val="22"/>
          <w:lang w:val="it-IT"/>
        </w:rPr>
        <w:t xml:space="preserve">) saranno incorporati nel prezzo che Big </w:t>
      </w:r>
      <w:proofErr w:type="spellStart"/>
      <w:r w:rsidRPr="00D75139">
        <w:rPr>
          <w:rFonts w:ascii="Liberation Serif" w:hAnsi="Liberation Serif" w:cs="Liberation Serif"/>
          <w:sz w:val="22"/>
          <w:szCs w:val="22"/>
          <w:lang w:val="it-IT"/>
        </w:rPr>
        <w:t>Gator</w:t>
      </w:r>
      <w:proofErr w:type="spellEnd"/>
      <w:r w:rsidRPr="00D75139">
        <w:rPr>
          <w:rFonts w:ascii="Liberation Serif" w:hAnsi="Liberation Serif" w:cs="Liberation Serif"/>
          <w:sz w:val="22"/>
          <w:szCs w:val="22"/>
          <w:lang w:val="it-IT"/>
        </w:rPr>
        <w:t xml:space="preserve"> paga per comprare Matilda.  Pertanto, Big </w:t>
      </w:r>
      <w:proofErr w:type="spellStart"/>
      <w:r w:rsidRPr="00D75139">
        <w:rPr>
          <w:rFonts w:ascii="Liberation Serif" w:hAnsi="Liberation Serif" w:cs="Liberation Serif"/>
          <w:sz w:val="22"/>
          <w:szCs w:val="22"/>
          <w:lang w:val="it-IT"/>
        </w:rPr>
        <w:t>Gator</w:t>
      </w:r>
      <w:proofErr w:type="spellEnd"/>
      <w:r w:rsidRPr="00D75139">
        <w:rPr>
          <w:rFonts w:ascii="Liberation Serif" w:hAnsi="Liberation Serif" w:cs="Liberation Serif"/>
          <w:sz w:val="22"/>
          <w:szCs w:val="22"/>
          <w:lang w:val="it-IT"/>
        </w:rPr>
        <w:t xml:space="preserve"> non può evitare di dare a Matilda alcuni o tutti i benefici dell'attuale posizione di monopsonio di Matilda.</w:t>
      </w:r>
    </w:p>
    <w:p w14:paraId="21A759C2" w14:textId="77777777" w:rsidR="00EB2314" w:rsidRPr="00D75139" w:rsidRDefault="00EB2314" w:rsidP="00EB2314">
      <w:pPr>
        <w:numPr>
          <w:ilvl w:val="0"/>
          <w:numId w:val="15"/>
        </w:numPr>
        <w:spacing w:before="0" w:after="80" w:line="260" w:lineRule="auto"/>
        <w:rPr>
          <w:rFonts w:ascii="Liberation Serif" w:hAnsi="Liberation Serif" w:cs="Liberation Serif"/>
          <w:sz w:val="22"/>
          <w:szCs w:val="22"/>
          <w:lang w:val="it-IT"/>
        </w:rPr>
        <w:widowControl/>
      </w:pPr>
      <w:r w:rsidRPr="00D75139">
        <w:rPr>
          <w:rFonts w:ascii="Liberation Serif" w:hAnsi="Liberation Serif" w:cs="Liberation Serif"/>
          <w:sz w:val="22"/>
          <w:szCs w:val="22"/>
          <w:lang w:val="it-IT"/>
        </w:rPr>
        <w:t>Gli obiettivi di fornitori e distributori sono allineati: vendere la produzione per ottenere i massimi profitti.</w:t>
      </w:r>
    </w:p>
    <w:p w14:paraId="2C2B2751" w14:textId="77777777" w:rsidR="00EB2314" w:rsidRPr="00D75139" w:rsidRDefault="00EB2314" w:rsidP="00EB2314">
      <w:pPr>
        <w:numPr>
          <w:ilvl w:val="0"/>
          <w:numId w:val="15"/>
        </w:numPr>
        <w:spacing w:before="0" w:after="80" w:line="260" w:lineRule="auto"/>
        <w:rPr>
          <w:rFonts w:ascii="Liberation Serif" w:hAnsi="Liberation Serif" w:cs="Liberation Serif"/>
          <w:sz w:val="22"/>
          <w:szCs w:val="22"/>
          <w:lang w:val="it-IT"/>
        </w:rPr>
        <w:widowControl/>
      </w:pPr>
      <w:r w:rsidRPr="00D75139">
        <w:rPr>
          <w:rFonts w:ascii="Liberation Serif" w:hAnsi="Liberation Serif" w:cs="Liberation Serif"/>
          <w:sz w:val="22"/>
          <w:szCs w:val="22"/>
          <w:lang w:val="it-IT"/>
        </w:rPr>
        <w:t>Le prestazioni sono facili da osservare e l'output è misurabile.</w:t>
      </w:r>
    </w:p>
    <w:p w14:paraId="0E901EFA" w14:textId="77777777" w:rsidR="00EB2314" w:rsidRPr="00D75139" w:rsidRDefault="00EB2314" w:rsidP="00EB2314">
      <w:pPr>
        <w:numPr>
          <w:ilvl w:val="0"/>
          <w:numId w:val="15"/>
        </w:numPr>
        <w:spacing w:before="0" w:after="80" w:line="260" w:lineRule="auto"/>
        <w:rPr>
          <w:rFonts w:ascii="Liberation Serif" w:hAnsi="Liberation Serif" w:cs="Liberation Serif"/>
          <w:sz w:val="22"/>
          <w:szCs w:val="22"/>
          <w:lang w:val="it-IT"/>
        </w:rPr>
        <w:widowControl/>
      </w:pPr>
      <w:r w:rsidRPr="00D75139">
        <w:rPr>
          <w:rFonts w:ascii="Liberation Serif" w:hAnsi="Liberation Serif" w:cs="Liberation Serif"/>
          <w:sz w:val="22"/>
          <w:szCs w:val="22"/>
          <w:lang w:val="it-IT"/>
        </w:rPr>
        <w:t>Le transazioni sono frequenti e semplici e sono facili da contrattare.</w:t>
      </w:r>
    </w:p>
    <w:p w14:paraId="4A011A69" w14:textId="5D126556" w:rsidR="00EB2314" w:rsidRPr="00D75139" w:rsidRDefault="00EB2314" w:rsidP="00EB2314">
      <w:pPr>
        <w:numPr>
          <w:ilvl w:val="0"/>
          <w:numId w:val="15"/>
        </w:numPr>
        <w:spacing w:before="0" w:after="80" w:line="260" w:lineRule="auto"/>
        <w:rPr>
          <w:rFonts w:ascii="Liberation Serif" w:hAnsi="Liberation Serif" w:cs="Liberation Serif"/>
          <w:sz w:val="22"/>
          <w:szCs w:val="22"/>
          <w:lang w:val="it-IT"/>
        </w:rPr>
        <w:widowControl/>
      </w:pPr>
      <w:r>
        <w:rPr>
          <w:rFonts w:ascii="Liberation Serif" w:hAnsi="Liberation Serif" w:cs="Liberation Serif"/>
          <w:sz w:val="22"/>
          <w:szCs w:val="22"/>
          <w:lang w:val="it-IT"/>
        </w:rPr>
        <w:t>Consentendo al distributore di trattenere una parte dei profitti, il produttore preserva l'incentivo di Matilda a effettuare investimenti specifici nella relazione con Big Gator e a gestire efficientemente la distribuzione.</w:t>
      </w:r>
    </w:p>
    <w:p w14:paraId="275F13D3" w14:textId="77777777" w:rsidR="00EB2314" w:rsidRPr="00D75139" w:rsidRDefault="00EB2314" w:rsidP="00EB2314">
      <w:pPr>
        <w:numPr>
          <w:ilvl w:val="0"/>
          <w:numId w:val="15"/>
        </w:numPr>
        <w:spacing w:before="0" w:after="80" w:line="260" w:lineRule="auto"/>
        <w:rPr>
          <w:rFonts w:ascii="Liberation Serif" w:hAnsi="Liberation Serif" w:cs="Liberation Serif"/>
          <w:sz w:val="22"/>
          <w:szCs w:val="22"/>
          <w:lang w:val="it-IT"/>
        </w:rPr>
        <w:widowControl/>
      </w:pPr>
      <w:r w:rsidRPr="00D75139">
        <w:rPr>
          <w:rFonts w:ascii="Liberation Serif" w:hAnsi="Liberation Serif" w:cs="Liberation Serif"/>
          <w:sz w:val="22"/>
          <w:szCs w:val="22"/>
          <w:lang w:val="it-IT"/>
        </w:rPr>
        <w:t xml:space="preserve">Il distributore controlla la quantità di sforzo da mettere nella </w:t>
      </w:r>
      <w:proofErr w:type="gramStart"/>
      <w:r w:rsidRPr="00D75139">
        <w:rPr>
          <w:rFonts w:ascii="Liberation Serif" w:hAnsi="Liberation Serif" w:cs="Liberation Serif"/>
          <w:sz w:val="22"/>
          <w:szCs w:val="22"/>
          <w:lang w:val="it-IT"/>
        </w:rPr>
        <w:t>distribuzione, quindi</w:t>
      </w:r>
      <w:proofErr w:type="gramEnd"/>
      <w:r w:rsidRPr="00D75139">
        <w:rPr>
          <w:rFonts w:ascii="Liberation Serif" w:hAnsi="Liberation Serif" w:cs="Liberation Serif"/>
          <w:sz w:val="22"/>
          <w:szCs w:val="22"/>
          <w:lang w:val="it-IT"/>
        </w:rPr>
        <w:t xml:space="preserve"> potrebbe essere utile consentire al distributore di condividere alcuni profitti al fine di fornire incentivi.</w:t>
      </w:r>
    </w:p>
    <w:p w14:paraId="05884BCA" w14:textId="77777777" w:rsidR="00EB2314" w:rsidRPr="00D75139" w:rsidRDefault="00EB2314" w:rsidP="00854315">
      <w:pPr>
        <w:spacing w:before="0" w:after="80" w:line="260" w:lineRule="auto"/>
        <w:ind w:left="720" w:hanging="360"/>
        <w:rPr>
          <w:rFonts w:ascii="Liberation Serif" w:hAnsi="Liberation Serif" w:cs="Liberation Serif"/>
          <w:sz w:val="22"/>
          <w:szCs w:val="22"/>
          <w:u w:val="single"/>
          <w:lang w:val="it-IT"/>
        </w:rPr>
        <w:widowControl/>
      </w:pPr>
      <w:r w:rsidRPr="00D75139">
        <w:rPr>
          <w:rFonts w:ascii="Liberation Serif" w:hAnsi="Liberation Serif" w:cs="Liberation Serif"/>
          <w:sz w:val="22"/>
          <w:szCs w:val="22"/>
          <w:u w:val="single"/>
          <w:lang w:val="it-IT"/>
        </w:rPr>
        <w:t xml:space="preserve">Motivi per cui Big </w:t>
      </w:r>
      <w:proofErr w:type="spellStart"/>
      <w:r w:rsidRPr="00D75139">
        <w:rPr>
          <w:rFonts w:ascii="Liberation Serif" w:hAnsi="Liberation Serif" w:cs="Liberation Serif"/>
          <w:sz w:val="22"/>
          <w:szCs w:val="22"/>
          <w:u w:val="single"/>
          <w:lang w:val="it-IT"/>
        </w:rPr>
        <w:t>Gator</w:t>
      </w:r>
      <w:proofErr w:type="spellEnd"/>
      <w:r w:rsidRPr="00D75139">
        <w:rPr>
          <w:rFonts w:ascii="Liberation Serif" w:hAnsi="Liberation Serif" w:cs="Liberation Serif"/>
          <w:sz w:val="22"/>
          <w:szCs w:val="22"/>
          <w:u w:val="single"/>
          <w:lang w:val="it-IT"/>
        </w:rPr>
        <w:t xml:space="preserve"> </w:t>
      </w:r>
      <w:r w:rsidRPr="00D75139">
        <w:rPr>
          <w:rFonts w:ascii="Liberation Serif" w:hAnsi="Liberation Serif" w:cs="Liberation Serif"/>
          <w:b/>
          <w:bCs/>
          <w:sz w:val="22"/>
          <w:szCs w:val="22"/>
          <w:u w:val="single"/>
          <w:lang w:val="it-IT"/>
        </w:rPr>
        <w:t>dovrebbe</w:t>
      </w:r>
      <w:r w:rsidRPr="00D75139">
        <w:rPr>
          <w:rFonts w:ascii="Liberation Serif" w:hAnsi="Liberation Serif" w:cs="Liberation Serif"/>
          <w:sz w:val="22"/>
          <w:szCs w:val="22"/>
          <w:u w:val="single"/>
          <w:lang w:val="it-IT"/>
        </w:rPr>
        <w:t xml:space="preserve"> integrarsi verticalmente:</w:t>
      </w:r>
    </w:p>
    <w:p w14:paraId="58D03875" w14:textId="63DEBE5B" w:rsidR="00EB2314" w:rsidRPr="00D75139" w:rsidRDefault="00EB2314" w:rsidP="00EB2314">
      <w:pPr>
        <w:numPr>
          <w:ilvl w:val="0"/>
          <w:numId w:val="16"/>
        </w:numPr>
        <w:spacing w:before="0" w:after="80" w:line="260" w:lineRule="auto"/>
        <w:rPr>
          <w:rFonts w:ascii="Liberation Serif" w:hAnsi="Liberation Serif" w:cs="Liberation Serif"/>
          <w:sz w:val="22"/>
          <w:szCs w:val="22"/>
          <w:lang w:val="it-IT"/>
        </w:rPr>
        <w:widowControl/>
      </w:pPr>
      <w:r w:rsidRPr="00D75139">
        <w:rPr>
          <w:rFonts w:ascii="Liberation Serif" w:hAnsi="Liberation Serif" w:cs="Liberation Serif"/>
          <w:sz w:val="22"/>
          <w:szCs w:val="22"/>
          <w:lang w:val="it-IT"/>
        </w:rPr>
        <w:t xml:space="preserve">È richiesto un investimento specifico </w:t>
      </w:r>
      <w:r w:rsidR="007B27A0" w:rsidRPr="00D75139">
        <w:rPr>
          <w:rFonts w:ascii="Liberation Serif" w:hAnsi="Liberation Serif" w:cs="Liberation Serif"/>
          <w:sz w:val="22"/>
          <w:szCs w:val="22"/>
          <w:lang w:val="it-IT"/>
        </w:rPr>
        <w:t>nel</w:t>
      </w:r>
      <w:r w:rsidRPr="00D75139">
        <w:rPr>
          <w:rFonts w:ascii="Liberation Serif" w:hAnsi="Liberation Serif" w:cs="Liberation Serif"/>
          <w:sz w:val="22"/>
          <w:szCs w:val="22"/>
          <w:lang w:val="it-IT"/>
        </w:rPr>
        <w:t xml:space="preserve"> rapporto da parte del </w:t>
      </w:r>
      <w:proofErr w:type="gramStart"/>
      <w:r w:rsidRPr="00D75139">
        <w:rPr>
          <w:rFonts w:ascii="Liberation Serif" w:hAnsi="Liberation Serif" w:cs="Liberation Serif"/>
          <w:sz w:val="22"/>
          <w:szCs w:val="22"/>
          <w:lang w:val="it-IT"/>
        </w:rPr>
        <w:t>distributore, quindi</w:t>
      </w:r>
      <w:proofErr w:type="gramEnd"/>
      <w:r w:rsidRPr="00D75139">
        <w:rPr>
          <w:rFonts w:ascii="Liberation Serif" w:hAnsi="Liberation Serif" w:cs="Liberation Serif"/>
          <w:sz w:val="22"/>
          <w:szCs w:val="22"/>
          <w:lang w:val="it-IT"/>
        </w:rPr>
        <w:t xml:space="preserve"> il rapporto potrebbe essere soggetto a un problema di </w:t>
      </w:r>
      <w:proofErr w:type="spellStart"/>
      <w:r w:rsidRPr="00D75139">
        <w:rPr>
          <w:rFonts w:ascii="Liberation Serif" w:hAnsi="Liberation Serif" w:cs="Liberation Serif"/>
          <w:sz w:val="22"/>
          <w:szCs w:val="22"/>
          <w:lang w:val="it-IT"/>
        </w:rPr>
        <w:t>hold</w:t>
      </w:r>
      <w:proofErr w:type="spellEnd"/>
      <w:r w:rsidRPr="00D75139">
        <w:rPr>
          <w:rFonts w:ascii="Liberation Serif" w:hAnsi="Liberation Serif" w:cs="Liberation Serif"/>
          <w:sz w:val="22"/>
          <w:szCs w:val="22"/>
          <w:lang w:val="it-IT"/>
        </w:rPr>
        <w:t xml:space="preserve">-up.  </w:t>
      </w:r>
    </w:p>
    <w:p w14:paraId="7172C603" w14:textId="428B8B50" w:rsidR="00D75139" w:rsidRDefault="00EB2314" w:rsidP="00D75139">
      <w:pPr>
        <w:numPr>
          <w:ilvl w:val="0"/>
          <w:numId w:val="16"/>
        </w:numPr>
        <w:spacing w:before="0" w:after="80" w:line="260" w:lineRule="auto"/>
        <w:rPr>
          <w:rFonts w:ascii="Liberation Serif" w:hAnsi="Liberation Serif" w:cs="Liberation Serif"/>
          <w:sz w:val="22"/>
          <w:szCs w:val="22"/>
          <w:lang w:val="it-IT"/>
        </w:rPr>
        <w:widowControl/>
      </w:pPr>
      <w:r w:rsidRPr="00D75139">
        <w:rPr>
          <w:rFonts w:ascii="Liberation Serif" w:hAnsi="Liberation Serif" w:cs="Liberation Serif"/>
          <w:sz w:val="22"/>
          <w:szCs w:val="22"/>
          <w:lang w:val="it-IT"/>
        </w:rPr>
        <w:t xml:space="preserve">Se i prezzi dei prodotti sono spinti così in basso che si causa un fallimento del mercato verticale o si sostengono costi eccessivi (a causa della sfiducia, frequenti rinegoziazioni dei contratti, </w:t>
      </w:r>
      <w:r w:rsidR="00D75139">
        <w:rPr>
          <w:rFonts w:ascii="Liberation Serif" w:hAnsi="Liberation Serif" w:cs="Liberation Serif"/>
          <w:sz w:val="22"/>
          <w:szCs w:val="22"/>
          <w:lang w:val="it-IT"/>
        </w:rPr>
        <w:t xml:space="preserve">meno </w:t>
      </w:r>
      <w:r w:rsidRPr="00D75139">
        <w:rPr>
          <w:rFonts w:ascii="Liberation Serif" w:hAnsi="Liberation Serif" w:cs="Liberation Serif"/>
          <w:sz w:val="22"/>
          <w:szCs w:val="22"/>
          <w:lang w:val="it-IT"/>
        </w:rPr>
        <w:t xml:space="preserve">investimenti specifici per relazione o investimenti per garantire il potere contrattuale ex post), il produttore può prendere in considerazione l'integrazione </w:t>
      </w:r>
      <w:r w:rsidR="00D75139">
        <w:rPr>
          <w:rFonts w:ascii="Liberation Serif" w:hAnsi="Liberation Serif" w:cs="Liberation Serif"/>
          <w:sz w:val="22"/>
          <w:szCs w:val="22"/>
          <w:lang w:val="it-IT"/>
        </w:rPr>
        <w:t>con il</w:t>
      </w:r>
      <w:r w:rsidRPr="00D75139">
        <w:rPr>
          <w:rFonts w:ascii="Liberation Serif" w:hAnsi="Liberation Serif" w:cs="Liberation Serif"/>
          <w:sz w:val="22"/>
          <w:szCs w:val="22"/>
          <w:lang w:val="it-IT"/>
        </w:rPr>
        <w:t xml:space="preserve"> distributore</w:t>
      </w:r>
      <w:r w:rsidR="00D75139">
        <w:rPr>
          <w:rFonts w:ascii="Liberation Serif" w:hAnsi="Liberation Serif" w:cs="Liberation Serif"/>
          <w:sz w:val="22"/>
          <w:szCs w:val="22"/>
          <w:lang w:val="it-IT"/>
        </w:rPr>
        <w:t>.</w:t>
      </w:r>
    </w:p>
    <w:p w14:paraId="1F2239D5" w14:textId="77777777" w:rsidR="00D75139" w:rsidRDefault="00D75139" w:rsidP="00D75139">
      <w:pPr>
        <w:spacing w:before="0" w:after="0" w:line="120" w:lineRule="auto"/>
        <w:ind w:left="720"/>
        <w:rPr>
          <w:rFonts w:ascii="Liberation Serif" w:hAnsi="Liberation Serif" w:cs="Liberation Serif"/>
          <w:sz w:val="22"/>
          <w:szCs w:val="22"/>
          <w:lang w:val="it-IT"/>
        </w:rPr>
        <w:widowControl/>
      </w:pPr>
    </w:p>
    <w:p w14:paraId="64DEF0FB" w14:textId="77777777" w:rsidR="00D75139" w:rsidRPr="00D75139" w:rsidRDefault="00D75139" w:rsidP="00D75139">
      <w:pPr>
        <w:spacing w:before="0" w:after="0" w:line="120" w:lineRule="auto"/>
        <w:ind w:left="720"/>
        <w:rPr>
          <w:rFonts w:ascii="Liberation Serif" w:hAnsi="Liberation Serif" w:cs="Liberation Serif"/>
          <w:sz w:val="22"/>
          <w:szCs w:val="22"/>
          <w:lang w:val="it-IT"/>
        </w:rPr>
        <w:widowControl/>
      </w:pPr>
    </w:p>
    <w:p w14:paraId="5BD8EF8E" w14:textId="77777777" w:rsidR="00D75139" w:rsidRPr="00D75139" w:rsidRDefault="00EB2314" w:rsidP="00D75139">
      <w:pPr>
        <w:pStyle w:val="BodyText"/>
        <w:spacing w:line="260" w:lineRule="auto" w:before="160" w:after="60"/>
        <w:rPr>
          <w:rFonts w:ascii="Liberation Serif" w:hAnsi="Liberation Serif" w:cs="Liberation Serif"/>
          <w:b/>
          <w:szCs w:val="22"/>
          <w:lang w:val="it-IT"/>
        </w:rPr>
        <w:widowControl/>
        <w:keepNext/>
      </w:pPr>
      <w:r>
        <w:rPr>
          <w:rFonts w:ascii="Liberation Serif" w:hAnsi="Liberation Serif" w:cs="Liberation Serif"/>
          <w:b/>
          <w:szCs w:val="22"/>
          <w:lang w:val="it-IT"/>
        </w:rPr>
        <w:t>5. Canon affonda le proprie radici nel Precision Optical Instruments Laboratory, avviato nel 1933; la società predecessore di Canon Inc. fu costituita nel 1937. Le fotocamere SLR si acquistano in due parti: corpo macchina e obiettivi. Chi sceglie Canon sostiene un investimento iniziale nel corpo macchina e può poi acquistare obiettivi Canon o compatibili prodotti da terzi. Sarebbe necessariamente meglio per Canon impedire la vendita di obiettivi compatibili?</w:t>
      </w:r>
    </w:p>
    <w:p w14:paraId="4D4798CF" w14:textId="0E755935" w:rsidR="00EB2314" w:rsidRPr="00D75139" w:rsidRDefault="00D75139" w:rsidP="00D75139">
      <w:pPr>
        <w:pStyle w:val="BodyText"/>
        <w:spacing w:line="120" w:lineRule="auto" w:before="0" w:after="0"/>
        <w:rPr>
          <w:rFonts w:ascii="Liberation Serif" w:hAnsi="Liberation Serif" w:cs="Liberation Serif"/>
          <w:b/>
          <w:szCs w:val="22"/>
          <w:lang w:val="it-IT"/>
        </w:rPr>
        <w:widowControl/>
      </w:pPr>
      <w:r>
        <w:rPr>
          <w:rFonts w:ascii="Liberation Serif" w:hAnsi="Liberation Serif" w:cs="Liberation Serif"/>
          <w:b/>
          <w:szCs w:val="22"/>
          <w:lang w:val="it-IT"/>
        </w:rPr>
      </w:r>
    </w:p>
    <w:p w14:paraId="0B17FD70" w14:textId="1E2E1E89" w:rsidR="00EB2314" w:rsidRPr="00D75139" w:rsidRDefault="00EB2314" w:rsidP="009E5EF5">
      <w:pPr>
        <w:pStyle w:val="BodyText"/>
        <w:spacing w:line="260" w:lineRule="auto" w:before="0" w:after="80"/>
        <w:rPr>
          <w:rFonts w:ascii="Liberation Serif" w:hAnsi="Liberation Serif" w:cs="Liberation Serif"/>
          <w:szCs w:val="22"/>
          <w:lang w:val="it-IT"/>
        </w:rPr>
        <w:widowControl/>
      </w:pPr>
      <w:r>
        <w:rPr>
          <w:rFonts w:ascii="Liberation Serif" w:hAnsi="Liberation Serif" w:cs="Liberation Serif"/>
          <w:szCs w:val="22"/>
          <w:lang w:val="it-IT"/>
        </w:rPr>
        <w:t>Non necessariamente. La disponibilità di obiettivi compatibili può aumentare il valore dell'ecosistema Canon, ridurre il timore di lock-in e favorire le vendite di corpi macchina. Canon rinuncia a una parte del margine sugli obiettivi, ma può guadagnare da una base installata più ampia e da una maggiore varietà di complementi. Il risultato dipende dal trade-off: apertura e compatibilità possono stimolare adozione e innovazione, mentre un controllo più stretto può proteggere qualità, compatibilità, reputazione e margini. La scelta ottimale richiede quindi di confrontare questi effetti, non di presumere che l'assenza di concorrenti sia sempre migliore.</w:t>
      </w:r>
    </w:p>
    <w:p w14:paraId="3262568E" w14:textId="77777777" w:rsidR="00EB2314" w:rsidRPr="00D75139" w:rsidRDefault="00EB2314" w:rsidP="009E5EF5">
      <w:pPr>
        <w:pStyle w:val="BodyText"/>
        <w:spacing w:line="120" w:lineRule="auto" w:before="0" w:after="0"/>
        <w:rPr>
          <w:rFonts w:ascii="Liberation Serif" w:hAnsi="Liberation Serif" w:cs="Liberation Serif"/>
          <w:szCs w:val="22"/>
          <w:lang w:val="it-IT"/>
        </w:rPr>
        <w:widowControl/>
      </w:pPr>
      <w:r>
        <w:rPr>
          <w:rFonts w:ascii="Liberation Serif" w:hAnsi="Liberation Serif" w:cs="Liberation Serif"/>
          <w:szCs w:val="22"/>
          <w:lang w:val="it-IT"/>
        </w:rPr>
      </w:r>
    </w:p>
    <w:p w14:paraId="079EEDE3" w14:textId="4B280552" w:rsidR="00EB2314" w:rsidRPr="00D75139" w:rsidRDefault="00EB2314" w:rsidP="009E5EF5">
      <w:pPr>
        <w:pStyle w:val="BodyText"/>
        <w:spacing w:line="120" w:lineRule="auto" w:before="0" w:after="0"/>
        <w:rPr>
          <w:rFonts w:ascii="Liberation Serif" w:hAnsi="Liberation Serif" w:cs="Liberation Serif"/>
          <w:szCs w:val="22"/>
          <w:lang w:val="it-IT"/>
        </w:rPr>
        <w:widowControl/>
      </w:pPr>
      <w:r>
        <w:rPr>
          <w:rFonts w:ascii="Liberation Serif" w:hAnsi="Liberation Serif" w:cs="Liberation Serif"/>
          <w:szCs w:val="22"/>
          <w:lang w:val="it-IT"/>
        </w:rPr>
      </w:r>
    </w:p>
    <w:p w14:paraId="37B9F480" w14:textId="109C8457" w:rsidR="00EB2314" w:rsidRPr="00D75139" w:rsidRDefault="00EB2314" w:rsidP="009E5EF5">
      <w:pPr>
        <w:pStyle w:val="BodyText"/>
        <w:spacing w:line="120" w:lineRule="auto" w:before="0" w:after="0"/>
        <w:rPr>
          <w:rFonts w:ascii="Liberation Serif" w:hAnsi="Liberation Serif" w:cs="Liberation Serif"/>
          <w:szCs w:val="22"/>
          <w:lang w:val="it-IT"/>
        </w:rPr>
        <w:widowControl/>
      </w:pPr>
      <w:r>
        <w:rPr>
          <w:rFonts w:ascii="Liberation Serif" w:hAnsi="Liberation Serif" w:cs="Liberation Serif"/>
          <w:szCs w:val="22"/>
          <w:lang w:val="it-IT"/>
        </w:rPr>
      </w:r>
    </w:p>
    <w:p w14:paraId="281191DA" w14:textId="77777777" w:rsidR="00E52BA8" w:rsidRPr="00D75139" w:rsidRDefault="00E52BA8" w:rsidP="00E52BA8">
      <w:pPr>
        <w:pStyle w:val="BodyText"/>
        <w:spacing w:line="120" w:lineRule="auto" w:before="0" w:after="0"/>
        <w:rPr>
          <w:rFonts w:ascii="Liberation Serif" w:hAnsi="Liberation Serif" w:cs="Liberation Serif"/>
          <w:szCs w:val="22"/>
          <w:lang w:val="it-IT"/>
        </w:rPr>
        <w:widowControl/>
      </w:pPr>
    </w:p>
    <w:p w14:paraId="3A0A10D4" w14:textId="20BEF108" w:rsidR="00E52BA8" w:rsidRPr="00D75139" w:rsidRDefault="00EB2314" w:rsidP="00E52BA8">
      <w:pPr>
        <w:pStyle w:val="BodyText2"/>
        <w:spacing w:line="260" w:lineRule="auto" w:before="160" w:after="60"/>
        <w:ind w:left="0"/>
        <w:rPr>
          <w:rFonts w:ascii="Liberation Serif" w:hAnsi="Liberation Serif" w:cs="Liberation Serif"/>
          <w:b/>
          <w:bCs/>
          <w:i w:val="0"/>
          <w:szCs w:val="22"/>
          <w:lang w:val="it-IT"/>
        </w:rPr>
        <w:widowControl/>
        <w:keepNext/>
      </w:pPr>
      <w:r>
        <w:rPr>
          <w:rFonts w:ascii="Liberation Serif" w:hAnsi="Liberation Serif" w:cs="Liberation Serif"/>
          <w:b/>
          <w:bCs/>
          <w:i w:val="0"/>
          <w:szCs w:val="22"/>
          <w:lang w:val="it-IT"/>
        </w:rPr>
        <w:t>10. Alcuni contratti di concessione, costruzione e manutenzione autostradale tra amministrazioni pubbliche e imprese sono molto lunghi e dettagliati. Altri, come quelli tra società di consulenza e clienti, restano più brevi e relativamente vaghi sulla divisione delle responsabilità. Quali fattori possono spiegare tali differenze?</w:t>
      </w:r>
    </w:p>
    <w:p w14:paraId="47A14346" w14:textId="3865DB86" w:rsidR="00E52BA8" w:rsidRPr="00D75139" w:rsidRDefault="00EB2314" w:rsidP="00EB2314">
      <w:pPr>
        <w:pStyle w:val="BodyText2"/>
        <w:spacing w:line="260" w:lineRule="auto" w:before="0" w:after="80"/>
        <w:ind w:left="0"/>
        <w:rPr>
          <w:rFonts w:ascii="Liberation Serif" w:hAnsi="Liberation Serif" w:cs="Liberation Serif"/>
          <w:i w:val="0"/>
          <w:szCs w:val="22"/>
          <w:lang w:val="it-IT"/>
        </w:rPr>
        <w:widowControl/>
      </w:pPr>
      <w:r>
        <w:rPr>
          <w:rFonts w:ascii="Liberation Serif" w:hAnsi="Liberation Serif" w:cs="Liberation Serif"/>
          <w:i w:val="0"/>
          <w:szCs w:val="22"/>
          <w:lang w:val="it-IT"/>
        </w:rPr>
        <w:t>Contano la misurabilità e la verificabilità delle prestazioni, la durata, la frequenza delle rinegoziazioni, l'incertezza, la specificità degli investimenti e i costi di redazione e controllo. In un'opera autostradale è possibile specificare molti standard tecnici, tempi, collaudi e penali; non si possono però prevedere tutte le condizioni future di traffico, manutenzione, sicurezza e innovazione normativa. Il caso del Ponte Morandi riguardava una concessione statale e gli obblighi di manutenzione e controllo del concessionario Autostrade per l'Italia, non un semplice contratto comunale di costruzione: mostra proprio i limiti dei contratti incompleti, della verificabilità e del monitoraggio nel lungo periodo. Nella consulenza, risultati e responsabilità sono spesso più difficili da misurare ex ante; per questo il contratto fa maggiore affidamento su procedure, reputazione, fiducia e adattamento successivo.</w:t>
      </w:r>
    </w:p>
    <w:p w14:paraId="694A18DB" w14:textId="77777777" w:rsidR="00EB2314" w:rsidRPr="00D75139" w:rsidRDefault="00EB2314" w:rsidP="00EB2314">
      <w:pPr>
        <w:pStyle w:val="BodyText2"/>
        <w:spacing w:line="120" w:lineRule="auto" w:before="0" w:after="0"/>
        <w:ind w:left="0"/>
        <w:rPr>
          <w:rFonts w:ascii="Liberation Serif" w:hAnsi="Liberation Serif" w:cs="Liberation Serif"/>
          <w:i w:val="0"/>
          <w:szCs w:val="22"/>
          <w:lang w:val="it-IT"/>
        </w:rPr>
        <w:widowControl/>
      </w:pPr>
    </w:p>
    <w:p w14:paraId="22C81113" w14:textId="501F4555" w:rsidR="00D75139" w:rsidRPr="00D75139" w:rsidRDefault="00D75139" w:rsidP="009F7D9C">
      <w:pPr>
        <w:pStyle w:val="BodyText2"/>
        <w:spacing w:line="260" w:lineRule="auto" w:before="160" w:after="60"/>
        <w:ind w:left="0"/>
        <w:rPr>
          <w:rFonts w:ascii="Liberation Serif" w:hAnsi="Liberation Serif" w:cs="Liberation Serif"/>
          <w:szCs w:val="22"/>
          <w:lang w:val="it-IT"/>
        </w:rPr>
        <w:widowControl/>
        <w:keepNext/>
      </w:pPr>
      <w:r>
        <w:rPr>
          <w:rFonts w:ascii="Liberation Serif" w:hAnsi="Liberation Serif" w:cs="Liberation Serif"/>
          <w:b/>
          <w:bCs/>
          <w:i w:val="0"/>
          <w:szCs w:val="22"/>
          <w:lang w:val="it-IT"/>
        </w:rPr>
        <w:t>11. La produzione richiede il coordinamento di diverse attività. Perché le decisioni make-or-buy sono influenzate in modo determinante dal coordinamento dei design attributes? Come si collega la risposta ai contratti incompleti?</w:t>
      </w:r>
    </w:p>
    <w:p w14:paraId="0D6016CC" w14:textId="0C7429DD" w:rsidR="00E52BA8" w:rsidRPr="00D75139" w:rsidRDefault="00EB2314" w:rsidP="00EB2314">
      <w:pPr>
        <w:spacing w:before="0" w:after="80" w:line="260" w:lineRule="auto"/>
        <w:rPr>
          <w:rFonts w:ascii="Liberation Serif" w:hAnsi="Liberation Serif" w:cs="Liberation Serif"/>
          <w:sz w:val="22"/>
          <w:szCs w:val="22"/>
          <w:lang w:val="it-IT"/>
        </w:rPr>
        <w:widowControl/>
      </w:pPr>
      <w:r>
        <w:rPr>
          <w:rFonts w:ascii="Liberation Serif" w:hAnsi="Liberation Serif" w:cs="Liberation Serif"/>
          <w:sz w:val="22"/>
          <w:szCs w:val="22"/>
          <w:lang w:val="it-IT"/>
        </w:rPr>
        <w:t>Gli attributi di progettazione (design attributes) devono essere coordinati con precisione: un disallineamento tra componenti, interfacce o tempi può distruggere valore. La decisione make-or-buy dipende quindi sia dall'importanza di tali interdipendenze sia dalla possibilità di specificarle, verificarle e adattarle contrattualmente. Quando gli attributi critici cambiano spesso o sono difficili da descrivere ex ante, i contratti incompleti lasciano spazio a rinegoziazioni, hold-up e ritardi; l'integrazione può facilitare autorità e coordinamento. Se invece interfacce e standard sono modulari e misurabili, l'acquisto sul mercato può conservare specializzazione e incentivi senza sacrificare il coordinamento.</w:t>
      </w:r>
    </w:p>
    <w:p w14:paraId="187F5B21" w14:textId="77777777" w:rsidR="00EB2314" w:rsidRPr="00D75139" w:rsidRDefault="00EB2314" w:rsidP="00EB2314">
      <w:pPr>
        <w:spacing w:before="0" w:after="0" w:line="120" w:lineRule="auto"/>
        <w:rPr>
          <w:lang w:val="it-IT"/>
        </w:rPr>
        <w:widowControl/>
      </w:pPr>
    </w:p>
    <w:p w14:paraId="7F8E0437" w14:textId="77777777" w:rsidR="009F7D9C" w:rsidRPr="009F7D9C" w:rsidRDefault="00EB2314" w:rsidP="009F7D9C">
      <w:pPr>
        <w:spacing w:before="160" w:after="60" w:line="260" w:lineRule="auto"/>
        <w:rPr>
          <w:b/>
          <w:bCs/>
          <w:lang w:val="it-IT"/>
        </w:rPr>
        <w:widowControl/>
        <w:keepNext/>
      </w:pPr>
      <w:r w:rsidRPr="009F7D9C">
        <w:rPr>
          <w:b/>
          <w:bCs/>
          <w:lang w:val="it-IT"/>
        </w:rPr>
        <w:t>13</w:t>
      </w:r>
      <w:r w:rsidR="009F7D9C" w:rsidRPr="009F7D9C">
        <w:rPr>
          <w:b/>
          <w:bCs/>
          <w:lang w:val="it-IT"/>
        </w:rPr>
        <w:t xml:space="preserve">. </w:t>
      </w:r>
      <w:r w:rsidR="009F7D9C" w:rsidRPr="009F7D9C">
        <w:rPr>
          <w:b/>
          <w:bCs/>
          <w:lang w:val="it-IT"/>
        </w:rPr>
        <w:t>In molte moderne industrie statunitensi sembrano diffusi i seguenti comportamenti:</w:t>
      </w:r>
    </w:p>
    <w:p w14:paraId="06449D0F" w14:textId="77777777" w:rsidR="009F7D9C" w:rsidRPr="009F7D9C" w:rsidRDefault="009F7D9C" w:rsidP="009F7D9C">
      <w:pPr>
        <w:numPr>
          <w:ilvl w:val="0"/>
          <w:numId w:val="18"/>
        </w:numPr>
        <w:spacing w:before="0" w:after="80" w:line="260" w:lineRule="auto"/>
        <w:rPr>
          <w:b/>
          <w:bCs/>
          <w:lang w:val="it-IT"/>
        </w:rPr>
        <w:widowControl/>
      </w:pPr>
      <w:r w:rsidRPr="009F7D9C">
        <w:rPr>
          <w:rFonts w:ascii="Calibri" w:hAnsi="Calibri" w:cs="Calibri"/>
          <w:b/>
          <w:bCs/>
        </w:rPr>
      </w:r>
      <w:r w:rsidRPr="009F7D9C">
        <w:rPr>
          <w:b/>
          <w:bCs/>
          <w:lang w:val="it-IT"/>
        </w:rPr>
        <w:t>È più probabile che siano le piccole imprese, anziché quelle grandi, a ricorrere a fonti esterne per la produzione di input.</w:t>
      </w:r>
    </w:p>
    <w:p w14:paraId="1149EB4B" w14:textId="4204AB11" w:rsidR="009F7D9C" w:rsidRPr="009F7D9C" w:rsidRDefault="009F7D9C" w:rsidP="009F7D9C">
      <w:pPr>
        <w:numPr>
          <w:ilvl w:val="0"/>
          <w:numId w:val="18"/>
        </w:numPr>
        <w:spacing w:before="0" w:after="80" w:line="260" w:lineRule="auto"/>
        <w:rPr>
          <w:b/>
          <w:bCs/>
          <w:lang w:val="it-IT"/>
        </w:rPr>
        <w:widowControl/>
      </w:pPr>
      <w:r w:rsidRPr="009F7D9C">
        <w:rPr>
          <w:rFonts w:ascii="Calibri" w:hAnsi="Calibri" w:cs="Calibri"/>
          <w:b/>
          <w:bCs/>
        </w:rPr>
      </w:r>
      <w:r w:rsidRPr="009F7D9C">
        <w:rPr>
          <w:b/>
          <w:bCs/>
          <w:lang w:val="it-IT"/>
        </w:rPr>
        <w:t xml:space="preserve">I componenti standard (come un semplice transistor, che potrebbe essere usato da vari produttori di apparecchiature elettroniche) vengono acquistati da fonti esterne più spesso di quelli </w:t>
      </w:r>
      <w:r>
        <w:rPr>
          <w:b/>
          <w:bCs/>
          <w:lang w:val="it-IT"/>
        </w:rPr>
        <w:t>“</w:t>
      </w:r>
      <w:r w:rsidRPr="009F7D9C">
        <w:rPr>
          <w:b/>
          <w:bCs/>
          <w:lang w:val="it-IT"/>
        </w:rPr>
        <w:t>su misura</w:t>
      </w:r>
      <w:r>
        <w:rPr>
          <w:b/>
          <w:bCs/>
          <w:lang w:val="it-IT"/>
        </w:rPr>
        <w:t>”</w:t>
      </w:r>
      <w:r w:rsidRPr="009F7D9C">
        <w:rPr>
          <w:b/>
          <w:bCs/>
          <w:lang w:val="it-IT"/>
        </w:rPr>
        <w:t xml:space="preserve"> (come, per esempio, un circuito integrato progettato per le esigenze specifiche di un singolo produttore).</w:t>
      </w:r>
    </w:p>
    <w:p w14:paraId="393B27FC" w14:textId="5BD4617A" w:rsidR="00EB2314" w:rsidRPr="009F7D9C" w:rsidRDefault="009F7D9C" w:rsidP="009F7D9C">
      <w:pPr>
        <w:spacing w:before="160" w:after="60" w:line="260" w:lineRule="auto"/>
        <w:rPr>
          <w:b/>
          <w:bCs/>
          <w:lang w:val="it-IT"/>
        </w:rPr>
        <w:widowControl/>
        <w:keepNext/>
      </w:pPr>
      <w:r w:rsidRPr="009F7D9C">
        <w:rPr>
          <w:b/>
          <w:bCs/>
          <w:lang w:val="it-IT"/>
        </w:rPr>
        <w:lastRenderedPageBreak/>
        <w:t>Quali sono i fattori che possono spiegare questi comportamenti?</w:t>
      </w:r>
    </w:p>
    <w:p w14:paraId="38C86DE5" w14:textId="77777777" w:rsidR="00EB2314" w:rsidRPr="009F7D9C" w:rsidRDefault="00EB2314" w:rsidP="00EB2314">
      <w:pPr>
        <w:spacing w:before="0" w:after="0" w:line="120" w:lineRule="auto"/>
        <w:rPr>
          <w:rFonts w:ascii="Liberation Serif" w:hAnsi="Liberation Serif" w:cs="Liberation Serif"/>
          <w:sz w:val="22"/>
          <w:szCs w:val="22"/>
          <w:lang w:val="it-IT"/>
        </w:rPr>
        <w:widowControl/>
      </w:pPr>
    </w:p>
    <w:p w14:paraId="033428AB" w14:textId="4994F4B6" w:rsidR="00EB2314" w:rsidRPr="009F7D9C" w:rsidRDefault="00EB2314" w:rsidP="00465906">
      <w:pPr>
        <w:pStyle w:val="ListParagraph"/>
        <w:numPr>
          <w:ilvl w:val="0"/>
          <w:numId w:val="1"/>
        </w:numPr>
        <w:spacing w:after="80" w:lineRule="auto" w:line="260" w:before="0"/>
        <w:rPr>
          <w:rFonts w:ascii="Liberation Serif" w:hAnsi="Liberation Serif" w:cs="Liberation Serif"/>
        </w:rPr>
        <w:widowControl/>
      </w:pPr>
      <w:r>
        <w:rPr>
          <w:rFonts w:ascii="Liberation Serif" w:hAnsi="Liberation Serif" w:cs="Liberation Serif"/>
          <w:lang w:val="it-IT"/>
        </w:rPr>
        <w:t>Le piccole imprese hanno maggiori probabilità di esternalizzare la produzione di input perché spesso non raggiungono internamente la scala efficiente necessaria.</w:t>
      </w:r>
    </w:p>
    <w:p w14:paraId="1B2F02E9" w14:textId="64E88191" w:rsidR="00EB2314" w:rsidRPr="00D75139" w:rsidRDefault="00EB2314" w:rsidP="00EB2314">
      <w:pPr>
        <w:pStyle w:val="BodyTextIndent"/>
        <w:numPr>
          <w:ilvl w:val="0"/>
          <w:numId w:val="1"/>
        </w:numPr>
        <w:spacing w:line="260" w:lineRule="auto" w:before="0" w:after="80"/>
        <w:rPr>
          <w:rFonts w:ascii="Liberation Serif" w:hAnsi="Liberation Serif" w:cs="Liberation Serif"/>
          <w:b w:val="0"/>
          <w:sz w:val="22"/>
          <w:szCs w:val="22"/>
          <w:lang w:val="it-IT"/>
        </w:rPr>
        <w:widowControl/>
      </w:pPr>
      <w:r w:rsidRPr="00D75139">
        <w:rPr>
          <w:rFonts w:ascii="Liberation Serif" w:hAnsi="Liberation Serif" w:cs="Liberation Serif"/>
          <w:b w:val="0"/>
          <w:sz w:val="22"/>
          <w:szCs w:val="22"/>
          <w:lang w:val="it-IT"/>
        </w:rPr>
        <w:t>È più probabile che gli input complessi vengano prodotti internamente rispetto agli input standard perché la specificità di questi prodotti e le risorse necessarie per produrli portano al problema dell’</w:t>
      </w:r>
      <w:proofErr w:type="spellStart"/>
      <w:r w:rsidRPr="00D75139">
        <w:rPr>
          <w:rFonts w:ascii="Liberation Serif" w:hAnsi="Liberation Serif" w:cs="Liberation Serif"/>
          <w:b w:val="0"/>
          <w:sz w:val="22"/>
          <w:szCs w:val="22"/>
          <w:lang w:val="it-IT"/>
        </w:rPr>
        <w:t>hold</w:t>
      </w:r>
      <w:proofErr w:type="spellEnd"/>
      <w:r w:rsidRPr="00D75139">
        <w:rPr>
          <w:rFonts w:ascii="Liberation Serif" w:hAnsi="Liberation Serif" w:cs="Liberation Serif"/>
          <w:b w:val="0"/>
          <w:sz w:val="22"/>
          <w:szCs w:val="22"/>
          <w:lang w:val="it-IT"/>
        </w:rPr>
        <w:t>-up. L'impresa a monte è a rischio di espropriazione. Di conseguenza, l'impresa a monte investirà in modo insufficiente e non riuscirà a produrre i fattori produttivi al livello ottimale di qualità ed efficienza per l'impresa a valle, che può anche essere esposta a costi elevati in caso di interruzione dell'approvvigionamento.  Pertanto, è spesso più efficiente per l'impresa a valle assumere il controllo della produzione di input complessi.</w:t>
      </w:r>
    </w:p>
    <w:p w14:paraId="35B571AA" w14:textId="77777777" w:rsidR="00E52BA8" w:rsidRPr="00D75139" w:rsidRDefault="00E52BA8" w:rsidP="00E52BA8">
      <w:pPr>
        <w:pStyle w:val="BodyTextIndent"/>
        <w:spacing w:line="120" w:lineRule="auto" w:before="0" w:after="0"/>
        <w:ind w:firstLine="0"/>
        <w:rPr>
          <w:rFonts w:ascii="Liberation Serif" w:hAnsi="Liberation Serif" w:cs="Liberation Serif"/>
          <w:b w:val="0"/>
          <w:sz w:val="22"/>
          <w:szCs w:val="22"/>
          <w:lang w:val="it-IT"/>
        </w:rPr>
        <w:widowControl/>
      </w:pPr>
    </w:p>
    <w:p w14:paraId="56EF0C09" w14:textId="77777777" w:rsidR="00E27A14" w:rsidRPr="00D75139" w:rsidRDefault="00E27A14">
      <w:pPr>
        <w:rPr>
          <w:lang w:val="it-IT"/>
        </w:rPr>
        <w:spacing w:lineRule="auto" w:before="0" w:after="0" w:line="120"/>
        <w:widowControl/>
      </w:pPr>
    </w:p>
    <w:sectPr w:rsidR="00E27A14" w:rsidRPr="00D75139" w:rsidSect="006940B2">
      <w:headerReference w:type="even" r:id="rId7"/>
      <w:footerReference w:type="even" r:id="rId8"/>
      <w:footerReference w:type="default" r:id="rId9"/>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59CAD8" w14:textId="77777777" w:rsidR="008971AA" w:rsidRDefault="008971AA">
      <w:pPr>
        <w:spacing w:before="0" w:after="0"/>
      </w:pPr>
      <w:r>
        <w:separator/>
      </w:r>
    </w:p>
  </w:endnote>
  <w:endnote w:type="continuationSeparator" w:id="0">
    <w:p w14:paraId="6BD8D371" w14:textId="77777777" w:rsidR="008971AA" w:rsidRDefault="008971A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35128921"/>
      <w:docPartObj>
        <w:docPartGallery w:val="Page Numbers (Bottom of Page)"/>
        <w:docPartUnique/>
      </w:docPartObj>
    </w:sdtPr>
    <w:sdtContent>
      <w:p w14:paraId="4E724E86" w14:textId="04E34976" w:rsidR="009F7D9C" w:rsidRDefault="009F7D9C" w:rsidP="00CE42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309D0D" w14:textId="3C4C1945" w:rsidR="00B15825" w:rsidRDefault="00000000" w:rsidP="009F7D9C">
    <w:pPr>
      <w:pStyle w:val="Footer"/>
      <w:tabs>
        <w:tab w:val="clear" w:pos="4680"/>
        <w:tab w:val="center" w:pos="4320"/>
      </w:tabs>
      <w:ind w:right="360"/>
      <w:rPr>
        <w:sz w:val="20"/>
      </w:rPr>
    </w:pPr>
    <w:r>
      <w:t>5-</w:t>
    </w:r>
    <w:r>
      <w:tab/>
    </w:r>
    <w:r w:rsidRPr="002C08C6">
      <w:rPr>
        <w:sz w:val="20"/>
      </w:rPr>
      <w:tab/>
      <w:t>Copyright © 201</w:t>
    </w:r>
    <w:r>
      <w:rPr>
        <w:sz w:val="20"/>
      </w:rPr>
      <w:t>6</w:t>
    </w:r>
    <w:r w:rsidRPr="002C08C6">
      <w:rPr>
        <w:sz w:val="20"/>
      </w:rPr>
      <w:t xml:space="preserve"> John Wiley &amp; Sons, In</w:t>
    </w:r>
    <w:r>
      <w:rPr>
        <w:sz w:val="20"/>
      </w:rPr>
      <w:t>c\.</w:t>
    </w:r>
  </w:p>
  <w:p w14:paraId="3705EAEB" w14:textId="77777777" w:rsidR="00B15825" w:rsidRPr="006940B2" w:rsidRDefault="00B15825" w:rsidP="006940B2">
    <w:pPr>
      <w:pStyle w:val="Footer"/>
      <w:tabs>
        <w:tab w:val="clear" w:pos="4680"/>
        <w:tab w:val="center" w:pos="4320"/>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66739405"/>
      <w:docPartObj>
        <w:docPartGallery w:val="Page Numbers (Bottom of Page)"/>
        <w:docPartUnique/>
      </w:docPartObj>
    </w:sdtPr>
    <w:sdtContent>
      <w:p w14:paraId="5768E53A" w14:textId="3A460E25" w:rsidR="009F7D9C" w:rsidRDefault="009F7D9C" w:rsidP="00CE42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9C83159" w14:textId="77777777" w:rsidR="00B15825" w:rsidRDefault="00000000" w:rsidP="009F7D9C">
    <w:pPr>
      <w:pStyle w:val="Footer"/>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CB7D44" w14:textId="77777777" w:rsidR="008971AA" w:rsidRDefault="008971AA">
      <w:pPr>
        <w:spacing w:before="0" w:after="0"/>
      </w:pPr>
      <w:r>
        <w:separator/>
      </w:r>
    </w:p>
  </w:footnote>
  <w:footnote w:type="continuationSeparator" w:id="0">
    <w:p w14:paraId="7074F3E4" w14:textId="77777777" w:rsidR="008971AA" w:rsidRDefault="008971A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DA2E3" w14:textId="77777777" w:rsidR="00B15825" w:rsidRDefault="00000000">
    <w:pPr>
      <w:pStyle w:val="Header"/>
    </w:pPr>
    <w:r>
      <w:rPr>
        <w:sz w:val="20"/>
      </w:rPr>
      <w:t>Instructor’s Manual</w:t>
    </w:r>
    <w:r>
      <w:rPr>
        <w:sz w:val="20"/>
      </w:rPr>
      <w:tab/>
    </w:r>
    <w:r>
      <w:rPr>
        <w:sz w:val="20"/>
      </w:rPr>
      <w:tab/>
    </w:r>
    <w:r w:rsidRPr="002239B6">
      <w:rPr>
        <w:i/>
        <w:sz w:val="20"/>
      </w:rPr>
      <w:t>Economics of Strategy</w:t>
    </w:r>
    <w:r w:rsidRPr="002C08C6">
      <w:rPr>
        <w:sz w:val="20"/>
      </w:rPr>
      <w:t xml:space="preserve">, </w:t>
    </w:r>
    <w:proofErr w:type="spellStart"/>
    <w:r>
      <w:rPr>
        <w:sz w:val="20"/>
      </w:rPr>
      <w:t>Seventh</w:t>
    </w:r>
    <w:r w:rsidRPr="002C08C6">
      <w:rPr>
        <w:sz w:val="20"/>
      </w:rPr>
      <w:t>Edition</w:t>
    </w:r>
    <w:proofErr w:type="spellEnd"/>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31E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1E291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3445127"/>
    <w:multiLevelType w:val="hybridMultilevel"/>
    <w:tmpl w:val="C8945FF6"/>
    <w:lvl w:ilvl="0" w:tplc="14EC07C8">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0C50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017DBB"/>
    <w:multiLevelType w:val="multilevel"/>
    <w:tmpl w:val="891C5A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96F70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7063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8D53991"/>
    <w:multiLevelType w:val="hybridMultilevel"/>
    <w:tmpl w:val="6806117A"/>
    <w:lvl w:ilvl="0" w:tplc="F60A71B2">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DA72D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5957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D951000"/>
    <w:multiLevelType w:val="hybridMultilevel"/>
    <w:tmpl w:val="050268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5318C7"/>
    <w:multiLevelType w:val="singleLevel"/>
    <w:tmpl w:val="48600188"/>
    <w:lvl w:ilvl="0">
      <w:start w:val="1"/>
      <w:numFmt w:val="lowerLetter"/>
      <w:lvlText w:val="%1."/>
      <w:lvlJc w:val="left"/>
      <w:pPr>
        <w:tabs>
          <w:tab w:val="num" w:pos="810"/>
        </w:tabs>
        <w:ind w:left="810" w:hanging="360"/>
      </w:pPr>
      <w:rPr>
        <w:rFonts w:hint="default"/>
        <w:b/>
      </w:rPr>
    </w:lvl>
  </w:abstractNum>
  <w:abstractNum w:abstractNumId="13" w15:restartNumberingAfterBreak="0">
    <w:nsid w:val="6105523C"/>
    <w:multiLevelType w:val="hybridMultilevel"/>
    <w:tmpl w:val="DCB24C44"/>
    <w:lvl w:ilvl="0" w:tplc="F60A71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4322AA"/>
    <w:multiLevelType w:val="singleLevel"/>
    <w:tmpl w:val="F58ED4AC"/>
    <w:lvl w:ilvl="0">
      <w:start w:val="1"/>
      <w:numFmt w:val="lowerLetter"/>
      <w:lvlText w:val="%1."/>
      <w:lvlJc w:val="left"/>
      <w:pPr>
        <w:tabs>
          <w:tab w:val="num" w:pos="402"/>
        </w:tabs>
        <w:ind w:left="402" w:hanging="360"/>
      </w:pPr>
      <w:rPr>
        <w:rFonts w:hint="default"/>
      </w:rPr>
    </w:lvl>
  </w:abstractNum>
  <w:abstractNum w:abstractNumId="15" w15:restartNumberingAfterBreak="0">
    <w:nsid w:val="65A70C3D"/>
    <w:multiLevelType w:val="singleLevel"/>
    <w:tmpl w:val="4768D374"/>
    <w:lvl w:ilvl="0">
      <w:start w:val="1"/>
      <w:numFmt w:val="lowerLetter"/>
      <w:lvlText w:val="%1."/>
      <w:lvlJc w:val="left"/>
      <w:pPr>
        <w:tabs>
          <w:tab w:val="num" w:pos="792"/>
        </w:tabs>
        <w:ind w:left="792" w:hanging="360"/>
      </w:pPr>
      <w:rPr>
        <w:rFonts w:hint="default"/>
      </w:rPr>
    </w:lvl>
  </w:abstractNum>
  <w:abstractNum w:abstractNumId="16" w15:restartNumberingAfterBreak="0">
    <w:nsid w:val="68D3367A"/>
    <w:multiLevelType w:val="multilevel"/>
    <w:tmpl w:val="4AD2E0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05505672">
    <w:abstractNumId w:val="14"/>
  </w:num>
  <w:num w:numId="2" w16cid:durableId="1985423167">
    <w:abstractNumId w:val="12"/>
  </w:num>
  <w:num w:numId="3" w16cid:durableId="1185245610">
    <w:abstractNumId w:val="15"/>
  </w:num>
  <w:num w:numId="4" w16cid:durableId="2028940269">
    <w:abstractNumId w:val="2"/>
  </w:num>
  <w:num w:numId="5" w16cid:durableId="1349335948">
    <w:abstractNumId w:val="6"/>
  </w:num>
  <w:num w:numId="6" w16cid:durableId="424032158">
    <w:abstractNumId w:val="9"/>
  </w:num>
  <w:num w:numId="7" w16cid:durableId="1642033050">
    <w:abstractNumId w:val="10"/>
  </w:num>
  <w:num w:numId="8" w16cid:durableId="1035734317">
    <w:abstractNumId w:val="4"/>
  </w:num>
  <w:num w:numId="9" w16cid:durableId="578825930">
    <w:abstractNumId w:val="7"/>
  </w:num>
  <w:num w:numId="10" w16cid:durableId="652761782">
    <w:abstractNumId w:val="1"/>
  </w:num>
  <w:num w:numId="11" w16cid:durableId="1398750060">
    <w:abstractNumId w:val="3"/>
  </w:num>
  <w:num w:numId="12" w16cid:durableId="1469929861">
    <w:abstractNumId w:val="11"/>
  </w:num>
  <w:num w:numId="13" w16cid:durableId="2117871636">
    <w:abstractNumId w:val="8"/>
  </w:num>
  <w:num w:numId="14" w16cid:durableId="912541600">
    <w:abstractNumId w:val="13"/>
  </w:num>
  <w:num w:numId="15" w16cid:durableId="1967659821">
    <w:abstractNumId w:val="5"/>
  </w:num>
  <w:num w:numId="16" w16cid:durableId="14925233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4488872">
    <w:abstractNumId w:val="16"/>
  </w:num>
  <w:num w:numId="18" w16cid:durableId="1696269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6"/>
  <w:hideSpellingErrors/>
  <w:hideGrammaticalError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2MzU3NLc0MTGzsDRX0lEKTi0uzszPAykwrgUA290NzSwAAAA="/>
  </w:docVars>
  <w:rsids>
    <w:rsidRoot w:val="00E52BA8"/>
    <w:rsid w:val="000231C9"/>
    <w:rsid w:val="00495DD0"/>
    <w:rsid w:val="004C5A0C"/>
    <w:rsid w:val="004D21E6"/>
    <w:rsid w:val="005C6BB6"/>
    <w:rsid w:val="00724CF6"/>
    <w:rsid w:val="007B27A0"/>
    <w:rsid w:val="008971AA"/>
    <w:rsid w:val="009F7D9C"/>
    <w:rsid w:val="00A16556"/>
    <w:rsid w:val="00B15825"/>
    <w:rsid w:val="00D75139"/>
    <w:rsid w:val="00E27A14"/>
    <w:rsid w:val="00E52BA8"/>
    <w:rsid w:val="00EB23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F3620"/>
  <w15:chartTrackingRefBased/>
  <w15:docId w15:val="{35A2F290-C438-4A43-B21A-6E33326DF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BA8"/>
    <w:pPr>
      <w:widowControl w:val="0"/>
      <w:spacing w:before="100" w:after="100" w:line="240" w:lineRule="auto"/>
    </w:pPr>
    <w:rPr>
      <w:rFonts w:eastAsia="Times New Roman"/>
      <w:snapToGrid w:val="0"/>
      <w:color w:val="auto"/>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E52BA8"/>
    <w:pPr>
      <w:spacing w:before="0" w:after="0"/>
      <w:ind w:left="720" w:hanging="720"/>
    </w:pPr>
    <w:rPr>
      <w:b/>
    </w:rPr>
  </w:style>
  <w:style w:type="character" w:customStyle="1" w:styleId="BodyTextIndentChar">
    <w:name w:val="Body Text Indent Char"/>
    <w:basedOn w:val="DefaultParagraphFont"/>
    <w:link w:val="BodyTextIndent"/>
    <w:rsid w:val="00E52BA8"/>
    <w:rPr>
      <w:rFonts w:eastAsia="Times New Roman"/>
      <w:b/>
      <w:snapToGrid w:val="0"/>
      <w:color w:val="auto"/>
      <w:szCs w:val="20"/>
    </w:rPr>
  </w:style>
  <w:style w:type="paragraph" w:styleId="BodyText">
    <w:name w:val="Body Text"/>
    <w:basedOn w:val="Normal"/>
    <w:link w:val="BodyTextChar"/>
    <w:rsid w:val="00E52BA8"/>
    <w:pPr>
      <w:spacing w:before="0" w:after="0"/>
    </w:pPr>
    <w:rPr>
      <w:snapToGrid/>
      <w:sz w:val="22"/>
    </w:rPr>
  </w:style>
  <w:style w:type="character" w:customStyle="1" w:styleId="BodyTextChar">
    <w:name w:val="Body Text Char"/>
    <w:basedOn w:val="DefaultParagraphFont"/>
    <w:link w:val="BodyText"/>
    <w:rsid w:val="00E52BA8"/>
    <w:rPr>
      <w:rFonts w:eastAsia="Times New Roman"/>
      <w:color w:val="auto"/>
      <w:sz w:val="22"/>
      <w:szCs w:val="20"/>
    </w:rPr>
  </w:style>
  <w:style w:type="paragraph" w:styleId="BodyText2">
    <w:name w:val="Body Text 2"/>
    <w:basedOn w:val="Normal"/>
    <w:link w:val="BodyText2Char"/>
    <w:rsid w:val="00E52BA8"/>
    <w:pPr>
      <w:widowControl/>
      <w:spacing w:before="0" w:after="0"/>
      <w:ind w:left="480"/>
    </w:pPr>
    <w:rPr>
      <w:i/>
      <w:snapToGrid/>
      <w:sz w:val="22"/>
    </w:rPr>
  </w:style>
  <w:style w:type="character" w:customStyle="1" w:styleId="BodyText2Char">
    <w:name w:val="Body Text 2 Char"/>
    <w:basedOn w:val="DefaultParagraphFont"/>
    <w:link w:val="BodyText2"/>
    <w:rsid w:val="00E52BA8"/>
    <w:rPr>
      <w:rFonts w:eastAsia="Times New Roman"/>
      <w:i/>
      <w:color w:val="auto"/>
      <w:sz w:val="22"/>
      <w:szCs w:val="20"/>
    </w:rPr>
  </w:style>
  <w:style w:type="paragraph" w:styleId="Header">
    <w:name w:val="header"/>
    <w:basedOn w:val="Normal"/>
    <w:link w:val="HeaderChar"/>
    <w:uiPriority w:val="99"/>
    <w:rsid w:val="00E52BA8"/>
    <w:pPr>
      <w:tabs>
        <w:tab w:val="center" w:pos="4680"/>
        <w:tab w:val="right" w:pos="9360"/>
      </w:tabs>
    </w:pPr>
  </w:style>
  <w:style w:type="character" w:customStyle="1" w:styleId="HeaderChar">
    <w:name w:val="Header Char"/>
    <w:basedOn w:val="DefaultParagraphFont"/>
    <w:link w:val="Header"/>
    <w:uiPriority w:val="99"/>
    <w:rsid w:val="00E52BA8"/>
    <w:rPr>
      <w:rFonts w:eastAsia="Times New Roman"/>
      <w:snapToGrid w:val="0"/>
      <w:color w:val="auto"/>
      <w:szCs w:val="20"/>
    </w:rPr>
  </w:style>
  <w:style w:type="paragraph" w:styleId="Footer">
    <w:name w:val="footer"/>
    <w:basedOn w:val="Normal"/>
    <w:link w:val="FooterChar"/>
    <w:uiPriority w:val="99"/>
    <w:rsid w:val="00E52BA8"/>
    <w:pPr>
      <w:tabs>
        <w:tab w:val="center" w:pos="4680"/>
        <w:tab w:val="right" w:pos="9360"/>
      </w:tabs>
    </w:pPr>
  </w:style>
  <w:style w:type="character" w:customStyle="1" w:styleId="FooterChar">
    <w:name w:val="Footer Char"/>
    <w:basedOn w:val="DefaultParagraphFont"/>
    <w:link w:val="Footer"/>
    <w:uiPriority w:val="99"/>
    <w:rsid w:val="00E52BA8"/>
    <w:rPr>
      <w:rFonts w:eastAsia="Times New Roman"/>
      <w:snapToGrid w:val="0"/>
      <w:color w:val="auto"/>
      <w:szCs w:val="20"/>
    </w:rPr>
  </w:style>
  <w:style w:type="paragraph" w:styleId="ListParagraph">
    <w:name w:val="List Paragraph"/>
    <w:basedOn w:val="Normal"/>
    <w:uiPriority w:val="34"/>
    <w:qFormat/>
    <w:rsid w:val="00E52BA8"/>
    <w:pPr>
      <w:widowControl/>
      <w:spacing w:before="0" w:after="200" w:line="276" w:lineRule="auto"/>
      <w:ind w:left="720"/>
      <w:contextualSpacing/>
    </w:pPr>
    <w:rPr>
      <w:rFonts w:ascii="Calibri" w:eastAsia="Calibri" w:hAnsi="Calibri"/>
      <w:snapToGrid/>
      <w:sz w:val="22"/>
      <w:szCs w:val="22"/>
    </w:rPr>
  </w:style>
  <w:style w:type="character" w:styleId="PageNumber">
    <w:name w:val="page number"/>
    <w:basedOn w:val="DefaultParagraphFont"/>
    <w:uiPriority w:val="99"/>
    <w:semiHidden/>
    <w:unhideWhenUsed/>
    <w:rsid w:val="009F7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Danese Giuseppe</dc:creator>
  <cp:keywords/>
  <dc:description/>
  <cp:lastModifiedBy>Giuseppe Danese</cp:lastModifiedBy>
  <cp:revision>7</cp:revision>
  <dcterms:created xsi:type="dcterms:W3CDTF">2023-08-24T15:48:00Z</dcterms:created>
  <dcterms:modified xsi:type="dcterms:W3CDTF">2024-10-29T14:35:00Z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a681bc526fdc9c3c51358320db8199a8e56755f681c4d64c3a7a0f4cf6674a99</vt:lpwstr>
  </property>
</Properties>
</file>